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55" w:rsidRDefault="00DA3655" w:rsidP="00DA3655">
      <w:pPr>
        <w:ind w:right="-55"/>
        <w:jc w:val="center"/>
        <w:rPr>
          <w:rStyle w:val="a5"/>
          <w:rFonts w:ascii="Arial" w:hAnsi="Arial" w:cs="Arial"/>
          <w:color w:val="353535"/>
          <w:sz w:val="21"/>
          <w:szCs w:val="21"/>
        </w:rPr>
      </w:pPr>
    </w:p>
    <w:p w:rsidR="00DA3655" w:rsidRDefault="00DA3655" w:rsidP="00DA3655">
      <w:pPr>
        <w:ind w:right="-55"/>
        <w:jc w:val="center"/>
        <w:rPr>
          <w:rStyle w:val="a5"/>
          <w:rFonts w:ascii="Arial" w:hAnsi="Arial" w:cs="Arial"/>
          <w:color w:val="353535"/>
          <w:sz w:val="21"/>
          <w:szCs w:val="21"/>
        </w:rPr>
      </w:pPr>
      <w:r>
        <w:rPr>
          <w:rStyle w:val="a5"/>
          <w:rFonts w:ascii="Arial" w:hAnsi="Arial" w:cs="Arial"/>
          <w:color w:val="353535"/>
          <w:sz w:val="21"/>
          <w:szCs w:val="21"/>
        </w:rPr>
        <w:t xml:space="preserve">                                             </w:t>
      </w:r>
    </w:p>
    <w:p w:rsidR="00DA3655" w:rsidRDefault="00DA3655" w:rsidP="00DA3655">
      <w:pPr>
        <w:ind w:right="-55"/>
        <w:jc w:val="center"/>
        <w:rPr>
          <w:rStyle w:val="a5"/>
          <w:color w:val="353535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7CEDA4" wp14:editId="13B57124">
            <wp:simplePos x="0" y="0"/>
            <wp:positionH relativeFrom="column">
              <wp:posOffset>2400300</wp:posOffset>
            </wp:positionH>
            <wp:positionV relativeFrom="paragraph">
              <wp:posOffset>150495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rFonts w:ascii="Arial" w:hAnsi="Arial" w:cs="Arial"/>
          <w:color w:val="353535"/>
          <w:sz w:val="21"/>
          <w:szCs w:val="21"/>
        </w:rPr>
        <w:t xml:space="preserve">                                                                                          </w:t>
      </w:r>
    </w:p>
    <w:p w:rsidR="00DA3655" w:rsidRDefault="00DA3655" w:rsidP="00DA3655">
      <w:pPr>
        <w:ind w:right="-55"/>
        <w:jc w:val="center"/>
        <w:rPr>
          <w:rStyle w:val="a5"/>
          <w:rFonts w:ascii="Arial" w:hAnsi="Arial" w:cs="Arial"/>
          <w:color w:val="353535"/>
          <w:sz w:val="21"/>
          <w:szCs w:val="21"/>
        </w:rPr>
      </w:pPr>
    </w:p>
    <w:p w:rsidR="00DA3655" w:rsidRDefault="00DA3655" w:rsidP="00DA3655">
      <w:pPr>
        <w:ind w:right="-55"/>
        <w:jc w:val="center"/>
        <w:rPr>
          <w:rStyle w:val="a5"/>
          <w:rFonts w:ascii="Arial" w:hAnsi="Arial" w:cs="Arial"/>
          <w:color w:val="353535"/>
          <w:sz w:val="21"/>
          <w:szCs w:val="21"/>
        </w:rPr>
      </w:pPr>
    </w:p>
    <w:p w:rsidR="00DA3655" w:rsidRDefault="00DA3655" w:rsidP="00DA3655">
      <w:pPr>
        <w:ind w:right="-55"/>
        <w:jc w:val="center"/>
        <w:rPr>
          <w:rStyle w:val="a5"/>
          <w:rFonts w:ascii="Arial" w:hAnsi="Arial" w:cs="Arial"/>
          <w:color w:val="353535"/>
          <w:sz w:val="21"/>
          <w:szCs w:val="21"/>
        </w:rPr>
      </w:pPr>
    </w:p>
    <w:p w:rsidR="00DA3655" w:rsidRDefault="00DA3655" w:rsidP="00DA3655">
      <w:pPr>
        <w:ind w:right="-55"/>
        <w:jc w:val="center"/>
        <w:rPr>
          <w:sz w:val="28"/>
          <w:szCs w:val="28"/>
        </w:rPr>
      </w:pPr>
    </w:p>
    <w:p w:rsidR="00DA3655" w:rsidRDefault="00DA3655" w:rsidP="00DA3655">
      <w:pPr>
        <w:ind w:right="-55"/>
        <w:jc w:val="center"/>
        <w:rPr>
          <w:b/>
          <w:sz w:val="28"/>
          <w:szCs w:val="28"/>
        </w:rPr>
      </w:pPr>
    </w:p>
    <w:p w:rsidR="00DA3655" w:rsidRDefault="00DA3655" w:rsidP="00DA3655">
      <w:pPr>
        <w:ind w:right="-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ВЯЗГИНСКОГО СЕЛЬСКОГО ПОСЕЛЕНИЯ СМОЛЕНСКОГО РАЙОНА СМОЛЕНСКОЙ ОБЛАСТИ</w:t>
      </w:r>
    </w:p>
    <w:p w:rsidR="00DA3655" w:rsidRDefault="00DA3655" w:rsidP="00DA3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3655" w:rsidRDefault="00DA3655" w:rsidP="00DA3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3655" w:rsidRDefault="00DA3655" w:rsidP="00DA3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A3655" w:rsidRDefault="00DA3655" w:rsidP="00DA365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26.04.</w:t>
      </w:r>
      <w:r>
        <w:rPr>
          <w:sz w:val="28"/>
          <w:szCs w:val="28"/>
        </w:rPr>
        <w:t xml:space="preserve"> 2024 года                                         </w:t>
      </w:r>
      <w:r>
        <w:rPr>
          <w:sz w:val="28"/>
          <w:szCs w:val="28"/>
        </w:rPr>
        <w:t xml:space="preserve">                          № 04</w:t>
      </w:r>
    </w:p>
    <w:p w:rsidR="00DA3655" w:rsidRDefault="00DA3655" w:rsidP="00DA3655">
      <w:pPr>
        <w:pStyle w:val="a4"/>
        <w:jc w:val="center"/>
        <w:rPr>
          <w:sz w:val="28"/>
          <w:szCs w:val="28"/>
        </w:rPr>
      </w:pPr>
    </w:p>
    <w:p w:rsidR="00DA3655" w:rsidRDefault="00DA3655" w:rsidP="00DA365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земельном налоге на территории Вязгинского сельского поселения Смоленского района Смоленской области в новой редакции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 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главой 31</w:t>
        </w:r>
      </w:hyperlink>
      <w:r>
        <w:rPr>
          <w:sz w:val="28"/>
          <w:szCs w:val="28"/>
        </w:rPr>
        <w:t> Налогового кодекса Российской Федерации, 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статьей 57</w:t>
        </w:r>
      </w:hyperlink>
      <w:r>
        <w:rPr>
          <w:sz w:val="28"/>
          <w:szCs w:val="28"/>
        </w:rPr>
        <w:t> Федерального закона от 06.10.2003 № 131-ФЗ «Об общих принципах организации местного самоуправления в Российской Федерации» и руководствуясь Уставом Вязгинского сельского поселения Смоленского района Смоленской области, Совет депутатов Вязгинского сельского поселения Смоленского района Смоленской области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>
        <w:rPr>
          <w:rStyle w:val="a5"/>
          <w:sz w:val="28"/>
          <w:szCs w:val="28"/>
        </w:rPr>
        <w:t>РЕШИЛ: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         </w:t>
      </w:r>
      <w:r>
        <w:rPr>
          <w:sz w:val="28"/>
          <w:szCs w:val="28"/>
        </w:rPr>
        <w:t>1. Утвердить </w:t>
      </w:r>
      <w:hyperlink r:id="rId9" w:anchor="Par60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> о земельном налоге на территории Вязгинского сельского поселения Смоленского района Смоленской области в новой редакции (прилагается).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         2. Признать утратившим силу решение Совета депутатов Вязгинского сельского поселения Смоленского района Смоленской области от 08.05.2019 № 13 «О земельном налоге на территории Вязгинского сельского поселения Смоленского района Смоленской области».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</w:p>
    <w:p w:rsidR="00DA3655" w:rsidRDefault="00DA3655" w:rsidP="00DA3655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cs="Arial"/>
          <w:sz w:val="28"/>
          <w:szCs w:val="28"/>
        </w:rPr>
        <w:t xml:space="preserve">астоящее решение подлежит </w:t>
      </w:r>
      <w:r>
        <w:rPr>
          <w:rFonts w:cs="Arial"/>
          <w:sz w:val="28"/>
          <w:szCs w:val="28"/>
          <w:u w:val="single"/>
        </w:rPr>
        <w:t>размещению</w:t>
      </w:r>
      <w:r>
        <w:rPr>
          <w:rFonts w:cs="Arial"/>
          <w:sz w:val="28"/>
          <w:szCs w:val="28"/>
        </w:rPr>
        <w:t xml:space="preserve"> на официальном сайте Администрации </w:t>
      </w:r>
      <w:r>
        <w:rPr>
          <w:rFonts w:cs="Arial"/>
          <w:bCs/>
          <w:kern w:val="28"/>
          <w:sz w:val="28"/>
          <w:szCs w:val="28"/>
        </w:rPr>
        <w:t>Вязгинского</w:t>
      </w:r>
      <w:r>
        <w:rPr>
          <w:rFonts w:cs="Arial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cs="Arial"/>
          <w:sz w:val="28"/>
          <w:szCs w:val="28"/>
          <w:u w:val="single"/>
        </w:rPr>
        <w:t xml:space="preserve">в </w:t>
      </w:r>
      <w:r>
        <w:rPr>
          <w:sz w:val="28"/>
          <w:szCs w:val="28"/>
          <w:u w:val="single"/>
          <w:lang w:eastAsia="ru-RU"/>
        </w:rPr>
        <w:t>информационно-телекоммуникационной сети «Интернет</w:t>
      </w:r>
      <w:r>
        <w:rPr>
          <w:sz w:val="28"/>
          <w:szCs w:val="28"/>
          <w:u w:val="single"/>
        </w:rPr>
        <w:t>»</w:t>
      </w:r>
      <w:r>
        <w:rPr>
          <w:rFonts w:cs="Arial"/>
          <w:sz w:val="28"/>
          <w:szCs w:val="28"/>
        </w:rPr>
        <w:t xml:space="preserve"> по адресу: </w:t>
      </w:r>
      <w:r>
        <w:rPr>
          <w:rFonts w:cs="Arial"/>
          <w:sz w:val="28"/>
          <w:szCs w:val="28"/>
          <w:lang w:val="en-US"/>
        </w:rPr>
        <w:t>http</w:t>
      </w:r>
      <w:r>
        <w:rPr>
          <w:rFonts w:cs="Arial"/>
          <w:sz w:val="28"/>
          <w:szCs w:val="28"/>
        </w:rPr>
        <w:t>://</w:t>
      </w:r>
      <w:r>
        <w:rPr>
          <w:rFonts w:cs="Arial"/>
          <w:sz w:val="28"/>
          <w:szCs w:val="28"/>
          <w:lang w:val="en-US"/>
        </w:rPr>
        <w:t>vyazgin</w:t>
      </w:r>
      <w:r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smol</w:t>
      </w:r>
      <w:proofErr w:type="spellEnd"/>
      <w:r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  <w:lang w:val="en-US"/>
        </w:rPr>
        <w:t>ray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ru</w:t>
      </w:r>
      <w:r>
        <w:rPr>
          <w:rFonts w:cs="Arial"/>
          <w:sz w:val="28"/>
          <w:szCs w:val="28"/>
        </w:rPr>
        <w:t>.</w:t>
      </w:r>
      <w:r>
        <w:rPr>
          <w:rStyle w:val="a3"/>
          <w:rFonts w:cs="Arial"/>
          <w:sz w:val="28"/>
          <w:szCs w:val="28"/>
        </w:rPr>
        <w:t>».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4. Настоящее решение </w:t>
      </w:r>
      <w:proofErr w:type="gramStart"/>
      <w:r>
        <w:rPr>
          <w:sz w:val="28"/>
          <w:szCs w:val="28"/>
        </w:rPr>
        <w:t>вступает в силу со дня его официального опубликования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с 1 января 2024 года.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3655" w:rsidRDefault="00DA3655" w:rsidP="00DA36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Вязгинского сельского поселения</w:t>
      </w:r>
    </w:p>
    <w:p w:rsidR="00DA3655" w:rsidRDefault="00DA3655" w:rsidP="00DA36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                             </w:t>
      </w:r>
      <w:r>
        <w:rPr>
          <w:b/>
          <w:sz w:val="28"/>
          <w:szCs w:val="28"/>
        </w:rPr>
        <w:t>М.А. Дмитриева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jc w:val="both"/>
        <w:rPr>
          <w:sz w:val="28"/>
          <w:szCs w:val="28"/>
        </w:rPr>
      </w:pPr>
    </w:p>
    <w:p w:rsidR="00DA3655" w:rsidRDefault="00DA3655" w:rsidP="00DA365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A3655" w:rsidRDefault="00DA3655" w:rsidP="00DA365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DA3655" w:rsidRDefault="00DA3655" w:rsidP="00DA365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Вязгинского сельского поселения</w:t>
      </w:r>
    </w:p>
    <w:p w:rsidR="00DA3655" w:rsidRDefault="00DA3655" w:rsidP="00DA3655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 </w:t>
      </w:r>
    </w:p>
    <w:p w:rsidR="00DA3655" w:rsidRDefault="00DA3655" w:rsidP="00DA3655">
      <w:pPr>
        <w:pStyle w:val="a4"/>
        <w:spacing w:before="0" w:beforeAutospacing="0" w:after="0" w:afterAutospacing="0"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от 26.04.2024 г. № 04</w:t>
      </w:r>
      <w:bookmarkStart w:id="0" w:name="_GoBack"/>
      <w:bookmarkEnd w:id="0"/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1" w:name="Par60"/>
      <w:bookmarkEnd w:id="1"/>
      <w:r>
        <w:rPr>
          <w:rStyle w:val="a5"/>
          <w:sz w:val="28"/>
          <w:szCs w:val="28"/>
        </w:rPr>
        <w:t>ПОЛОЖЕНИЕ</w:t>
      </w:r>
    </w:p>
    <w:p w:rsidR="00DA3655" w:rsidRDefault="00DA3655" w:rsidP="00DA365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О ЗЕМЕЛЬНОМ НАЛОГЕ НА ТЕРРИТОРИИ</w:t>
      </w:r>
    </w:p>
    <w:p w:rsidR="00DA3655" w:rsidRDefault="00DA3655" w:rsidP="00DA365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ВЯЗГИНСКОГО СЕЛЬСКОГО ПОСЕЛЕНИЯ</w:t>
      </w:r>
    </w:p>
    <w:p w:rsidR="00DA3655" w:rsidRDefault="00DA3655" w:rsidP="00DA365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СМОЛЕНСКОГО РАЙОНА СМОЛЕНСКОЙ ОБЛАСТИ</w:t>
      </w:r>
    </w:p>
    <w:p w:rsidR="00DA3655" w:rsidRDefault="00DA3655" w:rsidP="00DA365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(НОВАЯ РЕДАКЦИЯ)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1. Общие положения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Настоящим Положением в соответствии с Налоговым кодексом Российской Федерации на территории Вязгинского сельского поселения Смоленского района Смоленской области определяются налоговые ставки, порядок и сроки уплаты налога, дополнительные налоговые льготы, а также порядок и сроки предоставления налогоплательщиками документов, подтверждающих право на уменьшение налоговой базы.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2. Налогоплательщики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>
        <w:rPr>
          <w:sz w:val="28"/>
          <w:szCs w:val="28"/>
        </w:rPr>
        <w:t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3. Объект налогообложения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Объектом налогообложения признаются земельные участки, расположенные в пределах Вязгинского сельского поселения Смоленского района Смоленской области.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Не признаются объектом налогообложения: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  <w:proofErr w:type="gramEnd"/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земельные участки из состава земель лесного фонда;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земельные участки, входящие в состав общего имущества многоквартирного дома.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4. Налоговая база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Налоговая база определяется как кадастровая стоимость земельных участков, признаваемых объектами налогообложения в соответствии со статьей 389 Налогового кодекса Российской Федерации и статьей 3 настоящего Положения.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Налоговая база в отношении части земельного участка, занятого жилищным фондом и (или) объектами инженерной инфраструктуры жилищно-коммунального комплекса, приходящейся на объект недвижимого имущества, не относящийся к жилищному фонду и (или) объектам инженерной инфраструктуры жилищно-коммунального комплекса, определяется как доля кадастровой стоимости всего земельного участка, пропорциональная указанной части земельного участка.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5. Порядок определения налоговой базы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законом.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Налоговая база в отношении земельного участка, находящегося на территориях нескольких муниципальных образований или поселений, определяется по каждому муниципальному образованию или поселений. При этом налоговая база в отношении доли земельного участка, расположенного в границах соответствующего муниципального образования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>
        <w:rPr>
          <w:sz w:val="28"/>
          <w:szCs w:val="28"/>
        </w:rPr>
        <w:t xml:space="preserve"> при определении кадастровой стоимости, сведения об измененной </w:t>
      </w:r>
      <w:r>
        <w:rPr>
          <w:sz w:val="28"/>
          <w:szCs w:val="28"/>
        </w:rPr>
        <w:lastRenderedPageBreak/>
        <w:t xml:space="preserve">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>
        <w:rPr>
          <w:sz w:val="28"/>
          <w:szCs w:val="28"/>
        </w:rPr>
        <w:t>с даты начала</w:t>
      </w:r>
      <w:proofErr w:type="gramEnd"/>
      <w:r>
        <w:rPr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>
        <w:rPr>
          <w:sz w:val="28"/>
          <w:szCs w:val="28"/>
        </w:rPr>
        <w:t xml:space="preserve"> предметом оспаривания.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Героев Советского Союза, Героев Российской Федерации, полных кавалеров ордена Славы;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инвалидов I и II групп инвалидности;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инвалидов с детства, детей-инвалидов;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ветеранов и инвалидов Великой Отечественной войны, а также ветеранов и инвалидов боевых действий;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№3061-I), в соответствии с Федеральным законом от 26 ноября 1998 года №175-ФЗ «О социальной защите граждан Российской Федерации, подвергшихся воздействию </w:t>
      </w:r>
      <w:r>
        <w:rPr>
          <w:sz w:val="28"/>
          <w:szCs w:val="28"/>
        </w:rPr>
        <w:lastRenderedPageBreak/>
        <w:t>радиации вследствие аварии</w:t>
      </w:r>
      <w:proofErr w:type="gramEnd"/>
      <w:r>
        <w:rPr>
          <w:sz w:val="28"/>
          <w:szCs w:val="28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10) физических лиц, имеющих трех и более несовершеннолетних детей.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Уменьшение налоговой базы (налоговый вычет) в соответствии с пунктом 5 статьи 391 Налогового кодекса Российской Федерации производится в отношении одного земельного участка по выбору налогоплательщика.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7. Если при применении налогового вычета в соответствии со ст. 391 Налогового кодекса Российской Федерации налоговая база принимает отрицательное значение, в целях исчисления налога такая налоговая база принимается равной нулю.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6. Особенности определения налоговой базы в отношении земельных участков, находящихся в общей собственности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7. Налоговый период. Отчетный период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Налоговым периодом признается календарный год.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8. Налоговая ставка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Налоговые ставки устанавливаются в следующих размерах: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>
        <w:rPr>
          <w:sz w:val="28"/>
          <w:szCs w:val="28"/>
        </w:rPr>
        <w:lastRenderedPageBreak/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9. Налоговые льготы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Помимо категорий налогоплательщиков, указанных в статье 395 Налогового кодекса Российской Федерации, от налогообложения освобождаются: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1) многодетные семьи;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2) участники и инвалиды Великой Отечественной войны;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3) ветераны боевых действий;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4) органы местного самоуправления;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5) учреждения, осуществляющие свою деятельность в  сфере образования, здравоохранения и культуры;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бюджетные, автономные, казенные учреждения, финансовое обеспечение деятельности которых, в том числе по выполнению государственного (муниципального) задания, осуществляется за счет средств местного и областного бюджета на основании бюджетной сметы или в виде субсидии на возмещение нормативных затрат, связанных с оказанием ими в соответствии с государственным (муниципальным)  заданием государственных (муниципальных) услуг (выполнением работ);</w:t>
      </w:r>
      <w:proofErr w:type="gramEnd"/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налоговой льготы рассматривается налоговым органом в течение 30 дней со дня его получения. 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уведомив об этом налогоплательщика.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о предоставлении налоговой льготы должны быть указаны основания предоставления налоговой льготы, объекты налогообложения и периоды, применительно к которым предоставляется налоговая льгота. В сообщении об отказе от предоставления налоговой льготы должны быть указаны основания отказа от предоставления налоговой льготы, объекты налогообложения, а также период, начиная с которого налоговая льгота не предоставляется.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10. Порядок исчисления налога и авансовых платежей по налогу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bookmarkStart w:id="2" w:name="Par165"/>
      <w:bookmarkEnd w:id="2"/>
      <w:r>
        <w:rPr>
          <w:sz w:val="28"/>
          <w:szCs w:val="28"/>
        </w:rPr>
        <w:t xml:space="preserve">1. Сумма налога исчисляется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налогового периода как соответствующая налоговой ставке процентная доля налоговой базы, если иное не предусмотрено пунктами </w:t>
      </w:r>
      <w:hyperlink r:id="rId10" w:anchor="Par180" w:history="1">
        <w:r>
          <w:rPr>
            <w:rStyle w:val="a3"/>
            <w:color w:val="auto"/>
            <w:sz w:val="28"/>
            <w:szCs w:val="28"/>
            <w:u w:val="none"/>
          </w:rPr>
          <w:t>9</w:t>
        </w:r>
      </w:hyperlink>
      <w:r>
        <w:rPr>
          <w:sz w:val="28"/>
          <w:szCs w:val="28"/>
        </w:rPr>
        <w:t> и </w:t>
      </w:r>
      <w:hyperlink r:id="rId11" w:anchor="Par184" w:history="1">
        <w:r>
          <w:rPr>
            <w:rStyle w:val="a3"/>
            <w:color w:val="auto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>0 настоящей статьи.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bookmarkStart w:id="3" w:name="Par166"/>
      <w:bookmarkEnd w:id="3"/>
      <w:r>
        <w:rPr>
          <w:sz w:val="28"/>
          <w:szCs w:val="28"/>
        </w:rPr>
        <w:t>2. Сумма налога (сумма авансового платежа по налогу) исчисляется на основании сведений органов, осуществляющих государственный кадастровый учет и государственную регистрацию прав на недвижимое имущество, а также иных сведений, представленных в налоговые органы в соответствии с настоящим Кодексом и другими федеральными законами.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Налогоплательщики-организации исчисляют сумму налога (сумму авансового платежа по налогу) самостоятельно.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налога, подлежащая уплате налогоплательщиками - физическими лицами, исчисляется налоговыми органами.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Сумма налога, подлежащая уплате в бюджет по итогам налогового периода, определяется налогоплательщиками, являющимися организациями,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исчисление суммы налога (суммы авансового платежа по налогу) в отношении данного земельного участка производится с учетом 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коэффициента</w:t>
        </w:r>
      </w:hyperlink>
      <w:r>
        <w:rPr>
          <w:sz w:val="28"/>
          <w:szCs w:val="28"/>
        </w:rPr>
        <w:t>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</w:t>
      </w:r>
      <w:proofErr w:type="gramEnd"/>
      <w:r>
        <w:rPr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sz w:val="28"/>
          <w:szCs w:val="28"/>
        </w:rPr>
        <w:t>за полный месяц</w:t>
      </w:r>
      <w:proofErr w:type="gramEnd"/>
      <w:r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отношении земельного участка, перешедшего по наследству, налог </w:t>
      </w:r>
      <w:proofErr w:type="gramStart"/>
      <w:r>
        <w:rPr>
          <w:sz w:val="28"/>
          <w:szCs w:val="28"/>
        </w:rPr>
        <w:t>исчисляется</w:t>
      </w:r>
      <w:proofErr w:type="gramEnd"/>
      <w:r>
        <w:rPr>
          <w:sz w:val="28"/>
          <w:szCs w:val="28"/>
        </w:rPr>
        <w:t xml:space="preserve"> начиная со дня 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открытия наследства</w:t>
        </w:r>
      </w:hyperlink>
      <w:r>
        <w:rPr>
          <w:sz w:val="28"/>
          <w:szCs w:val="28"/>
        </w:rPr>
        <w:t>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7.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2 настоящего положения.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sz w:val="28"/>
          <w:szCs w:val="28"/>
        </w:rPr>
        <w:t>за полный месяц</w:t>
      </w:r>
      <w:proofErr w:type="gramEnd"/>
      <w:r>
        <w:rPr>
          <w:sz w:val="28"/>
          <w:szCs w:val="28"/>
        </w:rPr>
        <w:t>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8</w:t>
        </w:r>
      </w:hyperlink>
      <w:r>
        <w:rPr>
          <w:sz w:val="28"/>
          <w:szCs w:val="28"/>
        </w:rPr>
        <w:t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bookmarkStart w:id="4" w:name="Par180"/>
    <w:bookmarkEnd w:id="4"/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"consultantplus://offline/ref=1A51285ECB139E5ED25BCF3237311BF7D9E93AA7F4D7DE9394A059BE66BADB5D2F8C5EF01476A88750CEEFx520L" </w:instrText>
      </w:r>
      <w:r>
        <w:rPr>
          <w:sz w:val="28"/>
          <w:szCs w:val="28"/>
        </w:rPr>
        <w:fldChar w:fldCharType="separate"/>
      </w:r>
      <w:proofErr w:type="gramStart"/>
      <w:r>
        <w:rPr>
          <w:rStyle w:val="a3"/>
          <w:color w:val="auto"/>
          <w:sz w:val="28"/>
          <w:szCs w:val="28"/>
          <w:u w:val="none"/>
        </w:rPr>
        <w:t>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 (за исключением индивидуального жилищного </w:t>
      </w:r>
      <w:r>
        <w:rPr>
          <w:sz w:val="28"/>
          <w:szCs w:val="28"/>
        </w:rPr>
        <w:lastRenderedPageBreak/>
        <w:t>строительства, осуществляемого физическими лицами, и жилищного строительства, осуществляемого на основании договора о комплексном развитии территории, заключенного в соответствии с законодательством Российской Федерации о градостроительной деятельности), исчисление суммы налога (суммы авансовых платежей по налогу) производится с учетом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коэффициента 2 в течение трех лет начиная с даты государственной регистрации прав на данные земельные участки вплоть до государственной регистрации прав на построенные жилой дом (многоквартирный дом) или на любое помещение в указанном жилом доме (многоквартирном доме).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государственной регистрации прав на построенные жилой дом (многоквартирный дом) или на любое помещение в указанном жилом доме (многоквартирном доме) до истечения трехлетнего срока сумма налога, исчисленного за период применения коэффициента 2, подлежит перерасчету с учетом коэффициента 1.</w:t>
      </w:r>
      <w:proofErr w:type="gramEnd"/>
    </w:p>
    <w:p w:rsidR="00DA3655" w:rsidRDefault="00DA3655" w:rsidP="00DA3655">
      <w:pPr>
        <w:pStyle w:val="a4"/>
        <w:jc w:val="both"/>
        <w:rPr>
          <w:sz w:val="28"/>
          <w:szCs w:val="28"/>
        </w:rPr>
      </w:pPr>
      <w:bookmarkStart w:id="5" w:name="Par184"/>
      <w:bookmarkEnd w:id="5"/>
      <w:proofErr w:type="gramStart"/>
      <w:r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 (за исключением индивидуального жилищного строительства, осуществляемого физическими лицами, и жилищного строительства, осуществляемого на основании договора о комплексном развитии территории, заключенного в соответствии с законодательством Российской Федерации о градостроительной деятельности), исчисление суммы налога (суммы авансовых платежей по налогу) производится с учетом коэффициента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в течение периода, превышающего три года с даты государственной регистрации прав на данные земельные участки, вплоть до даты государственной регистрации прав на построенные жилой дом (многоквартирный дом) или на любое помещение в указанном жилом доме (многоквартирном доме).</w:t>
      </w:r>
      <w:proofErr w:type="gramEnd"/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разрешенное использование земельных участков, предусматривающее жилищное строительство (за исключением индивидуального жилищного строительства, осуществляемого физическими лицами, и жилищного строительства, осуществляемого на основании договора о комплексном развитии территории, заключенного в соответствии с законодательством Российской Федерации о градостроительной деятельности), установлено после государственной регистрации прав на данные земельные участки, исчисление суммы налога (суммы авансовых платежей по налогу) производится в порядке, аналогичном порядку, предусмотренному 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абзацами первым</w:t>
        </w:r>
      </w:hyperlink>
      <w:r>
        <w:rPr>
          <w:sz w:val="28"/>
          <w:szCs w:val="28"/>
        </w:rPr>
        <w:t> и 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вторым</w:t>
        </w:r>
      </w:hyperlink>
      <w:r>
        <w:rPr>
          <w:sz w:val="28"/>
          <w:szCs w:val="28"/>
        </w:rPr>
        <w:t> настоящего пункта, начиная с 1-го числа месяца, следующего за месяцем внесения в Единый государственный реестр недвижимости сведений об указанном разрешенном использовании данных земельных участков.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 xml:space="preserve">0. </w:t>
      </w:r>
      <w:proofErr w:type="gramStart"/>
      <w:r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построенные жилой дом или на любое помещение в указанном жилом доме.</w:t>
      </w:r>
      <w:proofErr w:type="gramEnd"/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разрешенное использование земельных участков, предусматривающее индивидуальное жилищное строительство, установлено после государственной регистрации прав на данные земельные участки, исчисление суммы налога производится в порядке, аналогичном порядку, предусмотренному 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абзацем первым</w:t>
        </w:r>
      </w:hyperlink>
      <w:r>
        <w:rPr>
          <w:sz w:val="28"/>
          <w:szCs w:val="28"/>
        </w:rPr>
        <w:t> настоящего пункта, начиная с 1-го числа месяца, следующего за месяцем внесения в Единый государственный реестр недвижимости сведений об указанном разрешенном использовании данных земельных участков.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Статья 11. Порядок и сроки уплаты налога и авансовых платежей по налогу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Срок уплаты налога для налогоплательщиков-организаций устанавливается 1 февраля года, следующего за истекшим налоговым периодом.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В течение налогового периода налогоплательщики-организации уплачивают авансовые платежи по налогу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февраля года, следующего за истекшим налоговым периодом.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Налог и авансовые платежи по налогу уплачиваются налогоплательщиками в бюджет по месту нахождения земельных участков, признаваемых объектом налогообложения в соответствии со </w:t>
      </w:r>
      <w:hyperlink r:id="rId19" w:anchor="Par82" w:history="1">
        <w:r>
          <w:rPr>
            <w:rStyle w:val="a3"/>
            <w:color w:val="auto"/>
            <w:sz w:val="28"/>
            <w:szCs w:val="28"/>
            <w:u w:val="none"/>
          </w:rPr>
          <w:t>статьей 3</w:t>
        </w:r>
      </w:hyperlink>
      <w:r>
        <w:rPr>
          <w:sz w:val="28"/>
          <w:szCs w:val="28"/>
        </w:rPr>
        <w:t> настоящего Положения.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bookmarkStart w:id="6" w:name="Par193"/>
      <w:bookmarkEnd w:id="6"/>
      <w:r>
        <w:rPr>
          <w:sz w:val="28"/>
          <w:szCs w:val="28"/>
        </w:rPr>
        <w:t>4.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bookmarkStart w:id="7" w:name="Par194"/>
      <w:bookmarkEnd w:id="7"/>
      <w:r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указанные в </w:t>
      </w:r>
      <w:hyperlink r:id="rId20" w:anchor="Par193" w:history="1">
        <w:r>
          <w:rPr>
            <w:rStyle w:val="a3"/>
            <w:color w:val="auto"/>
            <w:sz w:val="28"/>
            <w:szCs w:val="28"/>
            <w:u w:val="none"/>
          </w:rPr>
          <w:t>абзаце первом</w:t>
        </w:r>
      </w:hyperlink>
      <w:r>
        <w:rPr>
          <w:sz w:val="28"/>
          <w:szCs w:val="28"/>
        </w:rPr>
        <w:t> 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 </w:t>
      </w:r>
      <w:hyperlink r:id="rId21" w:anchor="Par194" w:history="1">
        <w:r>
          <w:rPr>
            <w:rStyle w:val="a3"/>
            <w:color w:val="auto"/>
            <w:sz w:val="28"/>
            <w:szCs w:val="28"/>
            <w:u w:val="none"/>
          </w:rPr>
          <w:t>абзаце втором</w:t>
        </w:r>
      </w:hyperlink>
      <w:r>
        <w:rPr>
          <w:sz w:val="28"/>
          <w:szCs w:val="28"/>
        </w:rPr>
        <w:t> настоящего пункта.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 </w:t>
      </w:r>
      <w:hyperlink r:id="rId22" w:history="1">
        <w:r>
          <w:rPr>
            <w:rStyle w:val="a3"/>
            <w:color w:val="auto"/>
            <w:sz w:val="28"/>
            <w:szCs w:val="28"/>
            <w:u w:val="none"/>
          </w:rPr>
          <w:t>статьями 78</w:t>
        </w:r>
      </w:hyperlink>
      <w:r>
        <w:rPr>
          <w:sz w:val="28"/>
          <w:szCs w:val="28"/>
        </w:rPr>
        <w:t> и </w:t>
      </w:r>
      <w:hyperlink r:id="rId23" w:history="1">
        <w:r>
          <w:rPr>
            <w:rStyle w:val="a3"/>
            <w:color w:val="auto"/>
            <w:sz w:val="28"/>
            <w:szCs w:val="28"/>
            <w:u w:val="none"/>
          </w:rPr>
          <w:t>79</w:t>
        </w:r>
      </w:hyperlink>
      <w:r>
        <w:rPr>
          <w:sz w:val="28"/>
          <w:szCs w:val="28"/>
        </w:rPr>
        <w:t> Налогового кодекса Российской Федерации.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Статья 11. Налоговая декларация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Налогоплательщики-организации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налогового периода представляют в налоговый орган по месту нахождения земельного участка налоговую декларацию по налогу.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Налогоплательщики в соответствии со </w:t>
      </w:r>
      <w:hyperlink r:id="rId24" w:history="1">
        <w:r>
          <w:rPr>
            <w:rStyle w:val="a3"/>
            <w:color w:val="auto"/>
            <w:sz w:val="28"/>
            <w:szCs w:val="28"/>
            <w:u w:val="none"/>
          </w:rPr>
          <w:t>статьей 83</w:t>
        </w:r>
      </w:hyperlink>
      <w:r>
        <w:rPr>
          <w:sz w:val="28"/>
          <w:szCs w:val="28"/>
        </w:rPr>
        <w:t xml:space="preserve"> Налогового кодекса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отнесенные к категории крупнейших представляют налоговые декларации в налоговый орган по месту учета в качестве крупнейших налогоплательщиков.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A3655" w:rsidRDefault="00DA3655" w:rsidP="00DA3655">
      <w:pPr>
        <w:jc w:val="both"/>
        <w:rPr>
          <w:sz w:val="28"/>
          <w:szCs w:val="28"/>
        </w:rPr>
      </w:pPr>
    </w:p>
    <w:p w:rsidR="00AB570B" w:rsidRDefault="00AB570B"/>
    <w:sectPr w:rsidR="00AB570B" w:rsidSect="00DA3655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37"/>
    <w:rsid w:val="00602897"/>
    <w:rsid w:val="00990337"/>
    <w:rsid w:val="00AB570B"/>
    <w:rsid w:val="00D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655"/>
    <w:rPr>
      <w:color w:val="0000FF"/>
      <w:u w:val="single"/>
    </w:rPr>
  </w:style>
  <w:style w:type="paragraph" w:styleId="a4">
    <w:name w:val="Normal (Web)"/>
    <w:basedOn w:val="a"/>
    <w:semiHidden/>
    <w:unhideWhenUsed/>
    <w:rsid w:val="00DA3655"/>
    <w:pPr>
      <w:spacing w:before="100" w:beforeAutospacing="1" w:after="100" w:afterAutospacing="1"/>
    </w:pPr>
  </w:style>
  <w:style w:type="paragraph" w:customStyle="1" w:styleId="ConsPlusTitle">
    <w:name w:val="ConsPlusTitle"/>
    <w:rsid w:val="00DA3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DA3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5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3655"/>
    <w:rPr>
      <w:color w:val="0000FF"/>
      <w:u w:val="single"/>
    </w:rPr>
  </w:style>
  <w:style w:type="paragraph" w:styleId="a4">
    <w:name w:val="Normal (Web)"/>
    <w:basedOn w:val="a"/>
    <w:semiHidden/>
    <w:unhideWhenUsed/>
    <w:rsid w:val="00DA3655"/>
    <w:pPr>
      <w:spacing w:before="100" w:beforeAutospacing="1" w:after="100" w:afterAutospacing="1"/>
    </w:pPr>
  </w:style>
  <w:style w:type="paragraph" w:customStyle="1" w:styleId="ConsPlusTitle">
    <w:name w:val="ConsPlusTitle"/>
    <w:rsid w:val="00DA3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DA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1285ECB139E5ED25BCF24345D46FDDDE264A2F1D1D1C7CCFF02E331B3D10A68C307B2507BAF8Fx523L" TargetMode="External"/><Relationship Id="rId13" Type="http://schemas.openxmlformats.org/officeDocument/2006/relationships/hyperlink" Target="consultantplus://offline/ref=62B873AEF931CCD26B7E45A49381F1806E3DC2F1EDCF64E3EE8A29B1DC02800C3451ECA4E0D7209742D4C5888928F048D82C387C4403DB0EnFv0I" TargetMode="External"/><Relationship Id="rId18" Type="http://schemas.openxmlformats.org/officeDocument/2006/relationships/hyperlink" Target="consultantplus://offline/ref=16425FA2CCAA18D78A8D3D5D195819779DD945E3CF22D891A99B5B5F80EB17A07A365F74F1A04AF6BC859FE9521281ADC5B297D4EBBAC2B9gA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koshino.smolensk.ru/docs/proekty-n-p-a/2322/" TargetMode="External"/><Relationship Id="rId7" Type="http://schemas.openxmlformats.org/officeDocument/2006/relationships/hyperlink" Target="consultantplus://offline/ref=1A51285ECB139E5ED25BCF24345D46FDDEEB6CA3F7D4D1C7CCFF02E331B3D10A68C307B2537FxA2FL" TargetMode="External"/><Relationship Id="rId12" Type="http://schemas.openxmlformats.org/officeDocument/2006/relationships/hyperlink" Target="consultantplus://offline/ref=A1B8E60F1D9F4CFDE700879136F43E8182857A1A8965FDEE49697D7EF2280732A74097A9D2A85A05A51229D34E34DB80A9F6299257677B1CMEs9I" TargetMode="External"/><Relationship Id="rId17" Type="http://schemas.openxmlformats.org/officeDocument/2006/relationships/hyperlink" Target="consultantplus://offline/ref=1A51285ECB139E5ED25BCF3237311BF7D9E93AA7F4D7DE9394A059BE66BADB5D2F8C5EF01476A88750CEEFx520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5B50EDE06F3AA7A9281DE449AB0065667E1B2E4A899D08B997D6932F245F8C91AE4D8156BF298559922E26005523CF2821BE846933AAL8e9J" TargetMode="External"/><Relationship Id="rId20" Type="http://schemas.openxmlformats.org/officeDocument/2006/relationships/hyperlink" Target="https://koshino.smolensk.ru/docs/proekty-n-p-a/2322/" TargetMode="Externa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s://koshino.smolensk.ru/docs/proekty-n-p-a/2322/" TargetMode="External"/><Relationship Id="rId24" Type="http://schemas.openxmlformats.org/officeDocument/2006/relationships/hyperlink" Target="consultantplus://offline/ref=1A51285ECB139E5ED25BCF24345D46FDDDE264A2F7D1D1C7CCFF02E331B3D10A68C307B2507AAA86x52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D5B50EDE06F3AA7A9281DE449AB0065667E1B2E4A899D08B997D6932F245F8C91AE4D8156BF298459922E26005523CF2821BE846933AAL8e9J" TargetMode="External"/><Relationship Id="rId23" Type="http://schemas.openxmlformats.org/officeDocument/2006/relationships/hyperlink" Target="consultantplus://offline/ref=1A51285ECB139E5ED25BCF24345D46FDDDE264A2F7D1D1C7CCFF02E331B3D10A68C307B654x72CL" TargetMode="External"/><Relationship Id="rId10" Type="http://schemas.openxmlformats.org/officeDocument/2006/relationships/hyperlink" Target="https://koshino.smolensk.ru/docs/proekty-n-p-a/2322/" TargetMode="External"/><Relationship Id="rId19" Type="http://schemas.openxmlformats.org/officeDocument/2006/relationships/hyperlink" Target="https://koshino.smolensk.ru/docs/proekty-n-p-a/23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shino.smolensk.ru/docs/proekty-n-p-a/2322/" TargetMode="External"/><Relationship Id="rId14" Type="http://schemas.openxmlformats.org/officeDocument/2006/relationships/hyperlink" Target="consultantplus://offline/ref=1A51285ECB139E5ED25BCF3237311BF7D9E93AA7F4D7DE9394A059BE66BADB5D2F8C5EF01476A88750CEEFx520L" TargetMode="External"/><Relationship Id="rId22" Type="http://schemas.openxmlformats.org/officeDocument/2006/relationships/hyperlink" Target="consultantplus://offline/ref=1A51285ECB139E5ED25BCF24345D46FDDDE264A2F7D1D1C7CCFF02E331B3D10A68C307B652x72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4793</Words>
  <Characters>27321</Characters>
  <Application>Microsoft Office Word</Application>
  <DocSecurity>0</DocSecurity>
  <Lines>227</Lines>
  <Paragraphs>64</Paragraphs>
  <ScaleCrop>false</ScaleCrop>
  <Company/>
  <LinksUpToDate>false</LinksUpToDate>
  <CharactersWithSpaces>32050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2024-04-26T05:30:00Z</dcterms:created>
  <dcterms:modified xsi:type="dcterms:W3CDTF">2024-04-26T05:31:00Z</dcterms:modified>
</cp:coreProperties>
</file>