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-5080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-5080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2A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C7CCA" w:rsidRPr="002C7CCA" w:rsidRDefault="002C7CCA" w:rsidP="002C7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3563131"/>
      <w:proofErr w:type="gramStart"/>
      <w:r w:rsidRPr="002C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C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CA" w:rsidRPr="002C7CCA" w:rsidRDefault="00090743" w:rsidP="002C7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967909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</w:t>
      </w:r>
      <w:r w:rsidR="0087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2C7CCA"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="0026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25</w:t>
      </w:r>
    </w:p>
    <w:bookmarkEnd w:id="1"/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 </w:t>
      </w:r>
      <w:bookmarkStart w:id="2" w:name="_Hlk118976590"/>
      <w:bookmarkStart w:id="3" w:name="_Hlk118976269"/>
      <w:r w:rsidR="002A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</w:p>
    <w:bookmarkEnd w:id="2"/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3"/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В соответствии с частью 10 статьи 35, статьей 45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1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руководствуясь Уставом </w:t>
      </w:r>
      <w:bookmarkStart w:id="4" w:name="_Hlk101513356"/>
      <w:r w:rsidR="002A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</w:t>
      </w:r>
      <w:bookmarkEnd w:id="4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="002A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2C7CC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2C7CCA" w:rsidRPr="002C7CCA" w:rsidRDefault="002C7CCA" w:rsidP="002C7CCA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proofErr w:type="gramStart"/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874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Утвердить Правила благоустройства территории </w:t>
      </w:r>
      <w:r w:rsidR="002A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согласно приложению к настоящему решению.</w:t>
      </w:r>
    </w:p>
    <w:p w:rsidR="002C7CCA" w:rsidRPr="002C7CCA" w:rsidRDefault="002C7CCA" w:rsidP="00874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решения признать утратившими силу:</w:t>
      </w:r>
    </w:p>
    <w:p w:rsidR="002C7CCA" w:rsidRPr="002C7CCA" w:rsidRDefault="0087438C" w:rsidP="0087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№ 16</w:t>
      </w:r>
      <w:r w:rsidR="002C7CCA"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16 апреля  2018 года  </w:t>
      </w:r>
      <w:r w:rsidR="002C7CCA" w:rsidRPr="002C7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муниципального образования </w:t>
      </w:r>
      <w:r w:rsidR="002A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области»</w:t>
      </w:r>
    </w:p>
    <w:p w:rsidR="002C7CCA" w:rsidRPr="002C7CCA" w:rsidRDefault="002C7CCA" w:rsidP="00874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Опубликовать настоящее решение в газете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</w:t>
      </w:r>
      <w:r w:rsidRPr="002C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5" w:name="_Hlk20309729"/>
      <w:bookmarkStart w:id="6" w:name="_Hlk67578940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информационно-телекоммуникационной сети «Интернет</w:t>
      </w:r>
      <w:bookmarkStart w:id="7" w:name="_Hlk15472517"/>
      <w:bookmarkEnd w:id="5"/>
      <w:bookmarkEnd w:id="6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 </w:t>
      </w:r>
      <w:bookmarkEnd w:id="7"/>
      <w:r w:rsid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fldChar w:fldCharType="begin"/>
      </w:r>
      <w:r w:rsidR="0087438C" w:rsidRP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instrText xml:space="preserve"> </w:instrText>
      </w:r>
      <w:r w:rsid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instrText>HYPERLINK</w:instrText>
      </w:r>
      <w:r w:rsidR="0087438C" w:rsidRP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instrText xml:space="preserve"> "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instrText>http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instrText>://</w:instrText>
      </w:r>
      <w:r w:rsid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instrText>vyazgin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instrText>.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instrText>smol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instrText>-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instrText>ray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instrText>.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instrText>ru</w:instrText>
      </w:r>
      <w:r w:rsidR="0087438C" w:rsidRP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instrText xml:space="preserve">" </w:instrText>
      </w:r>
      <w:r w:rsid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fldChar w:fldCharType="separate"/>
      </w:r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http</w:t>
      </w:r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</w:rPr>
        <w:t>://</w:t>
      </w:r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vyazgin</w:t>
      </w:r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proofErr w:type="spellStart"/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smol</w:t>
      </w:r>
      <w:proofErr w:type="spellEnd"/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ray</w:t>
      </w:r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ru</w:t>
      </w:r>
      <w:r w:rsid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fldChar w:fldCharType="end"/>
      </w:r>
      <w:r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/.</w:t>
      </w:r>
    </w:p>
    <w:p w:rsidR="002C7CCA" w:rsidRPr="002C7CCA" w:rsidRDefault="002C7CCA" w:rsidP="00874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C7CCA" w:rsidRPr="002C7CCA" w:rsidRDefault="002C7CCA" w:rsidP="002C7CC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D01705" w:rsidP="002C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Совета депутатов</w:t>
      </w:r>
    </w:p>
    <w:p w:rsidR="002C7CCA" w:rsidRPr="002C7CCA" w:rsidRDefault="002A688D" w:rsidP="002C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1189836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C7CCA" w:rsidRPr="002C7CCA" w:rsidRDefault="002C7CCA" w:rsidP="002C7CCA">
      <w:pPr>
        <w:tabs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  <w:bookmarkEnd w:id="8"/>
      <w:r w:rsidR="00D0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Р.А. Железняков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C7CCA" w:rsidRPr="002C7CCA" w:rsidRDefault="002C7CCA" w:rsidP="002C7CC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7CCA" w:rsidRPr="002C7CCA" w:rsidRDefault="002C7CCA" w:rsidP="002C7CC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C7CCA" w:rsidRPr="002C7CCA" w:rsidRDefault="002C7CCA" w:rsidP="002C7CC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bookmarkStart w:id="9" w:name="_Hlk6837211"/>
      <w:bookmarkStart w:id="10" w:name="_Hlk103948833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</w:t>
      </w:r>
      <w:bookmarkEnd w:id="9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2A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2C7CCA" w:rsidRPr="002C7CCA" w:rsidRDefault="00090743" w:rsidP="002C7CC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от  06</w:t>
      </w:r>
      <w:r w:rsidR="0087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2022 года 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="0087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10"/>
    <w:p w:rsidR="002C7CCA" w:rsidRPr="002C7CCA" w:rsidRDefault="002C7CCA" w:rsidP="002C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2C7CCA" w:rsidRPr="002C7CCA" w:rsidRDefault="002A688D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Вязгинского</w:t>
      </w:r>
      <w:r w:rsidR="002C7CCA"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2C7CCA" w:rsidRPr="002C7CCA" w:rsidRDefault="002C7CCA" w:rsidP="002C7C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1. Предмет регулирования настоящих Правил</w:t>
      </w:r>
      <w:bookmarkStart w:id="11" w:name="1"/>
      <w:bookmarkEnd w:id="11"/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="002A6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12" w:name="3"/>
      <w:bookmarkEnd w:id="12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</w:t>
      </w:r>
      <w:r w:rsidRPr="002C7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информационные щиты и указатели, применяемые как составные части благоустройства территории;</w:t>
      </w:r>
      <w:proofErr w:type="gramEnd"/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магистральная улица − основная транспортная и функционально-планировочная ось населенного пункта;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Определение фактических расстояний, установленных в настоящих Правилах, осуществляется с помощью средств измерения либо с использованием документации, в которой данное расстояние установлено.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50 см от плоскости стены. Если элементы выступают более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</w:t>
      </w:r>
      <w:r w:rsidRPr="002C7CC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Настоящие Правила не распространяются на отношения, связанные: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13" w:name="_Hlk5026116"/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bookmarkEnd w:id="13"/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2A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 по адресу: </w:t>
      </w:r>
      <w:hyperlink r:id="rId11" w:history="1"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http</w:t>
        </w:r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://</w:t>
        </w:r>
        <w:r w:rsidR="0087438C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vyazgin</w:t>
        </w:r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.</w:t>
        </w:r>
        <w:proofErr w:type="spellStart"/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smol</w:t>
        </w:r>
        <w:proofErr w:type="spellEnd"/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-</w:t>
        </w:r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ray</w:t>
        </w:r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.</w:t>
        </w:r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ru</w:t>
        </w:r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/</w:t>
        </w:r>
      </w:hyperlink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в социальных сетях;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фокус-групп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осуществление общественного 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реализацией проектов.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подготовки проектов;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11160493"/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_Hlk20236279"/>
      <w:bookmarkStart w:id="16" w:name="_Hlk6844862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bookmarkEnd w:id="15"/>
      <w:bookmarkEnd w:id="16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границам таких домов), - 3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метров (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более 3 метров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всему периметр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 границы земельного участка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земельных участков, на которых расположены индивидуальные жилые дома и жилые дома б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локированной застройки, - 5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(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более 5 метров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всему периметру от границы земельного участка;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индивидуальных жилых домов и жилых домов блокированной застройки, земельные участки под ко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торыми не образованы, - 5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(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более 5 метров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всему периметру от ограждения территории индивидуального жилого дома или жилого дома блокированной застройки, а в случа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отсутствия ограждения - 10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(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более 10 метров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всему периметру от индивидуального жилого дома или жилого дома блокированной застройки;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подпункто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11 настоящего пункта, - 6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(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более 6 метров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всему периметру от границы земельного участка;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15 метров)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периметру от здания, строения, сооружения;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земельных участков, на которых расположены здания, строения, сооружения, находящиеся в собственности физических лиц, юридических лиц и не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предназначенные для осуществления предпринимательской деятельности, за исключением случая, установленного подпунк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10 настоящего пункта - 6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6 метров)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периметру от границы земельного участка;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подпункт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12 настоящего пункта, - 15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15 метров)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периметру от здания, строения, сооружения;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ведения садоводства), - 6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6 метров)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периметру от границы земельного участка;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объекты недвижимости, - 5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5 метров)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периметру от границы земельного участка;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для земельных участков, на которых ведется строительство зданий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строений, сооружений, - 5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5 метров)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строительной площадки по всему периметру;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въезды и выезды из них, - 10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10 метров)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границ указанных земельных участков по всему периметру;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для отдельно стоящих тепловых, трансформаторных подстанций, зданий и сооружений инженерно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-технического назначения - 10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(не более 10 метров)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указанных объектов по всему периметру;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для садоводческих или огороднических некоммерческих товариществ, а такж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гаражных кооперативов - 10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(не более 10 метров)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еративы, не установлены, - 10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10 метров</w:t>
      </w:r>
      <w:proofErr w:type="gramEnd"/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их ограждений.</w:t>
      </w:r>
    </w:p>
    <w:p w:rsidR="002C7CCA" w:rsidRPr="002C7CCA" w:rsidRDefault="002C7CCA" w:rsidP="002C7CC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Границы прилегающей территории определяются с учетом следующих ограничений: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не допускается пересечение границ прилегающих территорий;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границы с другими прилегающими территориями (для исключения вклинивания,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изломанности границ, чересполосицы при определении границ прилегающих территорий).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56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Для населенных пунктов, в которых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улично-дорожная сеть с твердым покрытием и не подведены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7"/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смёта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бытового мусора в водосточные коллекторы.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18" w:name="_Hlk8137221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19" w:name="_Hlk22210955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9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20" w:name="_Hlk14965574"/>
    </w:p>
    <w:bookmarkEnd w:id="20"/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2C7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8"/>
    <w:p w:rsidR="002C7CCA" w:rsidRPr="002C7CCA" w:rsidRDefault="002C7CCA" w:rsidP="002C7C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вывозить и выгружать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сметать мусор на проезжую часть улиц, в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ливне-приемники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ливневой канализации;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захламлять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размещать транспортные средства на газоне или иной озеленённой или рекреационной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мусоросборниках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специально отведённых площадках;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и выбрасывать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стоянка разукомплектованных автотранспортных средств вне специально отведенных мест;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сжигать горючие отходы, предметы и материалы, в том числе опавшую листву, ветки, разводить костры.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4.22. Удаление ЖБО должно 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1" w:name="_Hlk14965857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21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по лоткам внутриквартальных проездов до дождеприемников, установленных в пределах квартала на въездах с улицы;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Валы собранного снега следует размещать с учетом требований «ГОСТ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26.09.2017 № 1245-ст).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22" w:name="6"/>
      <w:bookmarkEnd w:id="22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создания препятствий для работы снегоуборочной техники.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</w:t>
      </w:r>
      <w:bookmarkStart w:id="23" w:name="_Hlk22804048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4" w:name="_Hlk22211020"/>
      <w:bookmarkStart w:id="25" w:name="_Hlk22211206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24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5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3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сосулек.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воздушных линий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2C7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2C7CCA" w:rsidRPr="002C7CCA" w:rsidRDefault="002C7CCA" w:rsidP="002C7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6" w:name="7"/>
      <w:bookmarkEnd w:id="26"/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летний период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7" w:name="8"/>
      <w:bookmarkEnd w:id="27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8" w:name="9"/>
      <w:bookmarkEnd w:id="28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6.8.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"/>
      <w:bookmarkEnd w:id="29"/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7. Обеспечение надлежащего содержания объектов благоустройства</w:t>
      </w:r>
    </w:p>
    <w:p w:rsidR="002C7CCA" w:rsidRPr="002C7CCA" w:rsidRDefault="002C7CCA" w:rsidP="002C7CC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фасада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черном цвете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0" w:name="_Hlk14967170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30"/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1" w:name="_Hlk14967236"/>
    </w:p>
    <w:bookmarkEnd w:id="31"/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пределах указанного помещения, а также на лотках и в других местах осуществления юридическим лицом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 одной высоте), соответствовать иным установленным настоящими Правилами требованиям.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м, размещаемые на крыше зданий и оснащенные внутренней подсветкой, должны изготавливаться,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монтироваться и эксплуатироваться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проектной документацией.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7.23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обычные (традиционные),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парапетные,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встроенные,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защита от образования наледи и снежных заносов, обеспечение стока воды;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7.38. Для пешеходных зон и коммуникаций допускается использовать следующие типы малых архитектурных форм: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Ограждения земельных участков устанавливают высотой до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рабицы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передвижения по сложившимся пешеходным маршрутам.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маркетов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8. Организация пешеходных коммуникаций,</w:t>
      </w: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тротуаров, аллей, дорожек, тропинок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второстепенным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пересечения основных пешеходных коммуникаций с транспортными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проездами, в том числе некапитальных нестационарных сооружений, могут оснащаться бордюрными пандусами.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 групп населения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зд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мнемосхемах может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шрифта Брайля, и не владеющими данными навыками маломобильными группами населения.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10. Детские и спортивные площадки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следующих видов: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-площадки.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к) структуры прилегающей жилой застройки.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10.9.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11. Парковки (парковочные места)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автостоянок и парковок следующих видов: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 создании парковок общего пользования в границах земельного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 w:rsidRPr="002C7CCA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footnoteReference w:id="1"/>
      </w:r>
      <w:r w:rsidRPr="002C7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11.14.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11.15. Покрытие парковок (парковочных мест) должно быть твердым. Сопряжение покрытия парковки (парковочных мест) с проезжей частью необходимо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в одном уровне без укладки бортового камня.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11.19.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12. Площадки для выгула животных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содержание покрытия в летний и зимний периоды, в том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13. Посадка зелёных насаждений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</w:t>
      </w:r>
      <w:bookmarkStart w:id="32" w:name="_Hlk7527352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2"/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При посадке зелёных насаждений не допускается: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посадка деревьев на расстоянии ближе 4 метров до мачт и опор осветительной сети, мостовых опор и эстакад;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Приведенные в подпунктах 3 – 10 настоящего пункта нормы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к деревьям с диаметром кроны не более 5 м и должны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увеличены для деревьев с кроной большего диаметра.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вело-пешеходных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дорожек.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При организации озеленения следует сохранять существующие ландшафты.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14. Восстановление зелёных насаждений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Компенсационное озеленение производится с учётом следующих требований: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восстановление производится в пределах территории, где была произведена вырубка, с высадкой деревьев.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4"/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15. Мероприятия по выявлению ядовитых и вредных </w:t>
      </w:r>
      <w:r w:rsidRPr="002C7CCA">
        <w:rPr>
          <w:rFonts w:ascii="Times New Roman" w:eastAsia="Calibri" w:hAnsi="Times New Roman" w:cs="Times New Roman"/>
          <w:sz w:val="28"/>
          <w:szCs w:val="28"/>
        </w:rPr>
        <w:t>растений, борьбе с ними, локализации, ликвидации их очагов</w:t>
      </w:r>
    </w:p>
    <w:p w:rsidR="002C7CCA" w:rsidRPr="002C7CCA" w:rsidRDefault="002C7CCA" w:rsidP="002C7C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ядовитых и вредных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15.2. В целях своевременного выявления ядовитых и вредных растений лица, указанные в абзацах втором —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-   проводят систематические обследования территорий;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ядовитых и вредных растений.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Мероприятия по удалению борщевика Сосновского должны проводиться до его </w:t>
      </w:r>
      <w:proofErr w:type="spellStart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обработка почвы, посев многолетних трав.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16. Места (площадки) накопления твердых коммунальных отходов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11.11.2021 №0461/0103.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контейнеры, расположенные на контейнерных площадках;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Смоленской области (далее - децентрализованный способ).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Смоленской области в соответствии с законодательством Российской Федерации в области санитарно-эпидемиологического благополучия населения.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также ограждение, обеспечивающее предупреждение распространения отходов за пределы контейнерной площадки.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рабицы</w:t>
      </w:r>
      <w:proofErr w:type="spell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33" w:name="_Hlk67486644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33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16.5. 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16.6. 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от 28.01.2021 № 3.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16.7.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тв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16.8.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17. Выпас и прогон сельскохозяйственных животных</w:t>
      </w: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17.1. Сельскохозяйственные животные могут быть организованы их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 должно быть определено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 поселения.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и не допускать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сельскохозяйственные животные отбились от стада во время прогона, выпаса. 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17.8. При осуществлении выпаса сельскохозяйственных животных допускается: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17.9. При осуществлении выпаса и прогона сельскохозяйственных животных запрещается: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сельскохозяйственных животных;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сельскохозяйственных животных по автомобильной дороге с асфальт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цементобетонным покрытием при наличии иных путей;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18. Праздничное оформление территории поселения</w:t>
      </w: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В перечень объектов праздничного оформления могут включаться: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18.3. К элементам праздничного оформления относятся: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подсветка зеленых насаждений;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нужд».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19. Ответственность за нарушение Правил</w:t>
      </w: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2C7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законодательством Российской Федерации.</w:t>
      </w: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19.2.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Также в соответствии с Федеральным законом от 31 июля 2020 года        № 248-ФЗ «О государственном контроле (надзоре) и муниципальном контроле в Российской Федерации», решением Совета депутатов </w:t>
      </w:r>
      <w:r w:rsidR="002A68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Смоленского района Смоленской области от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ноября 2021 года № 42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r w:rsidR="002A688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Вязгинского</w:t>
      </w:r>
      <w:r w:rsidRPr="002C7CC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сельского поселения </w:t>
      </w:r>
      <w:r w:rsidRPr="002C7CC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lastRenderedPageBreak/>
        <w:t>Смоленского района Смоленской области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на территории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A68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Смоленского района Смоленской области осуществляется муниципальный контроль в сфере благоустройства.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19.3. Одним из механизмов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контроля за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соблюдением Правил является общественный контроль.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о-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видеофиксации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Pr="002C7CCA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_GoBack"/>
      <w:bookmarkEnd w:id="34"/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благоустройства территории </w:t>
      </w:r>
    </w:p>
    <w:p w:rsidR="002C7CCA" w:rsidRPr="002C7CCA" w:rsidRDefault="002A688D" w:rsidP="002C7CC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</w:t>
      </w:r>
      <w:r w:rsidR="002C7CCA" w:rsidRPr="002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области, утвержденным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</w:t>
      </w:r>
      <w:r w:rsidR="002C7CCA" w:rsidRPr="002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  <w:r w:rsidR="002C7CCA" w:rsidRPr="002C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7CCA" w:rsidRPr="002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CCA" w:rsidRPr="002C7CCA" w:rsidRDefault="003C67DE" w:rsidP="002C7CC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06 декабря</w:t>
      </w:r>
      <w:r w:rsidR="002C7CCA" w:rsidRPr="002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 № 25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СВОДОВ ПРАВИЛ, НАЦИОНАЛЬНЫХ СТАНДАРТОВ И ТЕХНИЧЕСКИХ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РЕГЛАМЕНТОВ, ПРИМЕНЯЕМЫХ ПРИ РАЗРАБОТКЕ НОРМ И ПРАВИЛ ПО БЛАГОУСТРОЙСТВУ ТЕРРИТОРИИ </w:t>
      </w:r>
      <w:r w:rsidR="002A68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СМОЛЕНСКОГО РАЙОНА СМОЛЕНСКОЙ ОБЛАСТИ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hyperlink r:id="rId12" w:history="1">
        <w:r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42.13330.2016</w:t>
        </w:r>
      </w:hyperlink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«СНиП 2.07.01-89* Градостроительство. Планировка и застройка городских и сельских поселений»;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476.1325800.2020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82.13330.2016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Благоустройство территорий. Актуализированная редакция СНиП III-10-75»;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475.1325800.2020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Парки. Правила градостроительного проектирования и благоустройства»;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45.13330.2017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48.13330.2019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Организация строительства. СНиП 12-01-2004»;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116.13330.2012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104.13330.2016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59.13330.2020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Доступность зданий и сооружений для маломобильных групп населения. СНиП 35-01-2001»;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140.13330.2012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Городская среда. Правила проектирования для маломобильных групп населения»;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136.13330.2012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138.13330.2012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137.13330.2012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403.1325800.2018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32.13330.2018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Канализация. Наружные сети и 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сооружения. СНиП 2.04.03-85»;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31.13330.2012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124.13330.2012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Тепловые сети. Актуализированная редакция СНиП 41-02-2003»;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34.13330.2021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Автомобильные дороги. СНиП 2.05.02-85*»;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52.13330.2016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50.13330.2012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Тепловая защита зданий. Актуализированная редакция СНиП 23-02-2003»;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51.13330.2011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Защита от шума. Актуализированная редакция СНиП 23-03-2003»;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53.13330.2019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118.13330.2012*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Общественные здания и сооружения. Актуализированная редакция СНиП 31-06-2009»;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54.13330.2016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жилые многоквартирные. Актуализированная редакция СНиП 31-01-2003»;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251.1325800.2016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общеобразовательных организаций. Правила проектирования»;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252.1325800.2016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дошкольных образовательных организаций. Правила проектирования»;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158.13330.2014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и помещения медицинских организаций. Правила проектирования»;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257.1325800.2020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гостиниц. Правила проектирования»;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113.13330.2016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Стоянки автомобилей. Актуализированная редакция СНиП 21-02-99*»;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35.13330.2011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Мосты и трубы. Актуализированная редакция СНиП 2.05.03-84*»;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102.13330.2012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Туннели гидротехнические. Актуализированная редакция СНиП 2.06.09-84»;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58.13330.2019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Гидротехнические сооружения. Основные положения. СНиП 33-01-2003»;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38.13330.2018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39.13330.2012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Плотины из грунтовых материалов. Актуализированная редакция СНиП 2.06.05-84*»;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40.13330.2012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Плотины бетонные и железобетонные. Актуализированная редакция СНиП 2.06.06-85»;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41.13330.2012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101.13330.2012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Подпорные стены, судоходные 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шлюзы, рыбопропускные и </w:t>
      </w:r>
      <w:proofErr w:type="spellStart"/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рыбозащитные</w:t>
      </w:r>
      <w:proofErr w:type="spellEnd"/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сооружения. Актуализированная редакция СНиП 2.06.07-87»;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122.13330.2012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Тоннели железнодорожные и автодорожные. Актуализированная редакция СНиП 32-04-97»;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259.1325800.2016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Мосты в условиях плотной городской застройки. Правила проектирования»;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132.13330.2011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254.1325800.2016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и территории. Правила проектирования защиты от производственного шума»;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18.13330.2019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19.13330.2019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131.13330.2020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Строительная климатология. СНиП 23-01-99*»;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СанПиН 2.1.3684-21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52024-2003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«Услуги физкультурно-оздоровительные и спортивные. Общие требования»;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52025-2003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«Услуги физкультурно-оздоровительные и спортивные. Требования безопасности потребителей»;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33602-2015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детских игровых площадок. Термины и определения»;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58207-2018/ISO/IEC </w:t>
        </w:r>
        <w:proofErr w:type="spell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Guide</w:t>
        </w:r>
        <w:proofErr w:type="spell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50:2014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34614.1-2019 (EN 1176-1:2017)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34614.2-2019 (EN 1176-2:2017)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34614.3-2019 (EN 1176-3:2017)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34614.4-2019 (EN 1176-4:2017)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4. Дополнительные требования безопасности и методы испытаний канатных дорог»;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34614.5-2019 (EN 1176-5:2008)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5. Дополнительные требования безопасности и 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испытаний каруселей»;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34614.6-2019 (EN 1176-6:2017)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2C7CCA" w:rsidRPr="002C7CCA" w:rsidRDefault="002C7CCA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34614.10-2019 (EN 1176-10:2008)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34614.11-2019 (EN 1176-11:2014)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34615-2019 (EN 1177:2018)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«Покрытия </w:t>
      </w:r>
      <w:proofErr w:type="spellStart"/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ударопоглощающие</w:t>
      </w:r>
      <w:proofErr w:type="spellEnd"/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площадок. Определение критической высоты падения»;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55677-2013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55678-2013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55679-2013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детских спортивных площадок. Безопасность при эксплуатации»;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52766-2007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«Дороги автомобильные общего пользования. Элементы обустройства»;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33128-2014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2C7CCA" w:rsidRPr="002C7CCA" w:rsidRDefault="002C7CCA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52289-2019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33127-2014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«Дороги автомобильные общего пользования. Ограждения дорожные. Классификация»;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52607-2006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26213-91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Почвы. Методы определения органического вещества»;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53381-2009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17.4.3.04-85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Охрана природы. Почвы. Общие требования к контролю и охране от 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загрязнения»;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17.5.3.06-85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32110-2013 (ISO 11094:1991)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17.4.3.07-2001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28329-89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Озеленение городов. Термины и определения»;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24835-81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Саженцы деревьев и кустарников. Технические условия»;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24909-81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25769-83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59370-2021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51232-98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55935-2013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55627-2013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58967-2020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52875-2018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24940-2016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«Межгосударственный стандарт. Здания и сооружения. Методы измерения освещенности»;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55706-2013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2C7CCA" w:rsidRPr="002C7CCA" w:rsidRDefault="00E53FE1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55844-2013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2C7CCA" w:rsidRPr="002C7CCA" w:rsidRDefault="002C7CCA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Технический </w:t>
      </w:r>
      <w:hyperlink r:id="rId97" w:history="1">
        <w:r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регламент</w:t>
        </w:r>
      </w:hyperlink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ЕАЭС 042/2017).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tabs>
          <w:tab w:val="left" w:pos="5955"/>
        </w:tabs>
        <w:spacing w:after="0" w:line="240" w:lineRule="auto"/>
        <w:ind w:left="1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0B" w:rsidRDefault="00AB570B"/>
    <w:sectPr w:rsidR="00AB570B" w:rsidSect="0087438C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BD" w:rsidRDefault="00DB1DBD" w:rsidP="002C7CCA">
      <w:pPr>
        <w:spacing w:after="0" w:line="240" w:lineRule="auto"/>
      </w:pPr>
      <w:r>
        <w:separator/>
      </w:r>
    </w:p>
  </w:endnote>
  <w:endnote w:type="continuationSeparator" w:id="0">
    <w:p w:rsidR="00DB1DBD" w:rsidRDefault="00DB1DBD" w:rsidP="002C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BD" w:rsidRDefault="00DB1DBD" w:rsidP="002C7CCA">
      <w:pPr>
        <w:spacing w:after="0" w:line="240" w:lineRule="auto"/>
      </w:pPr>
      <w:r>
        <w:separator/>
      </w:r>
    </w:p>
  </w:footnote>
  <w:footnote w:type="continuationSeparator" w:id="0">
    <w:p w:rsidR="00DB1DBD" w:rsidRDefault="00DB1DBD" w:rsidP="002C7CCA">
      <w:pPr>
        <w:spacing w:after="0" w:line="240" w:lineRule="auto"/>
      </w:pPr>
      <w:r>
        <w:continuationSeparator/>
      </w:r>
    </w:p>
  </w:footnote>
  <w:footnote w:id="1">
    <w:p w:rsidR="00E53FE1" w:rsidRDefault="00E53FE1" w:rsidP="002C7CCA">
      <w:pPr>
        <w:pStyle w:val="afe"/>
        <w:jc w:val="both"/>
      </w:pPr>
      <w:r>
        <w:rPr>
          <w:rStyle w:val="aff0"/>
        </w:rPr>
        <w:footnoteRef/>
      </w:r>
      <w:r>
        <w:t xml:space="preserve"> Пункты 11.11-11.13 применимы для городских округов и крупных административных центров муниципальных районов.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28546E9"/>
    <w:multiLevelType w:val="hybridMultilevel"/>
    <w:tmpl w:val="A88EFFCE"/>
    <w:lvl w:ilvl="0" w:tplc="1F5EC4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D6925"/>
    <w:multiLevelType w:val="multilevel"/>
    <w:tmpl w:val="006A4F2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2.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3">
    <w:nsid w:val="0737767D"/>
    <w:multiLevelType w:val="multilevel"/>
    <w:tmpl w:val="BAFE3D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4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C0D13BA"/>
    <w:multiLevelType w:val="multilevel"/>
    <w:tmpl w:val="A4C2566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7">
    <w:nsid w:val="0C332133"/>
    <w:multiLevelType w:val="hybridMultilevel"/>
    <w:tmpl w:val="97307786"/>
    <w:lvl w:ilvl="0" w:tplc="F28ED2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9">
    <w:nsid w:val="10525C3F"/>
    <w:multiLevelType w:val="hybridMultilevel"/>
    <w:tmpl w:val="AA8E8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C203F"/>
    <w:multiLevelType w:val="multilevel"/>
    <w:tmpl w:val="ACE0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18B00C3"/>
    <w:multiLevelType w:val="hybridMultilevel"/>
    <w:tmpl w:val="9F2CD6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A2318"/>
    <w:multiLevelType w:val="multilevel"/>
    <w:tmpl w:val="A28077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2.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15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05F70FF"/>
    <w:multiLevelType w:val="hybridMultilevel"/>
    <w:tmpl w:val="67B038E4"/>
    <w:lvl w:ilvl="0" w:tplc="905C94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9343782"/>
    <w:multiLevelType w:val="hybridMultilevel"/>
    <w:tmpl w:val="5C3A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A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BBE790D"/>
    <w:multiLevelType w:val="hybridMultilevel"/>
    <w:tmpl w:val="E5C43A40"/>
    <w:lvl w:ilvl="0" w:tplc="EF8EB59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A10FF5"/>
    <w:multiLevelType w:val="multilevel"/>
    <w:tmpl w:val="B434C476"/>
    <w:lvl w:ilvl="0">
      <w:start w:val="1"/>
      <w:numFmt w:val="decimal"/>
      <w:isLgl/>
      <w:lvlText w:val="%1.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95791"/>
    <w:multiLevelType w:val="multilevel"/>
    <w:tmpl w:val="3CAE45C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581BF1"/>
    <w:multiLevelType w:val="multilevel"/>
    <w:tmpl w:val="51C4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9C5ECC"/>
    <w:multiLevelType w:val="hybridMultilevel"/>
    <w:tmpl w:val="0700F9E0"/>
    <w:lvl w:ilvl="0" w:tplc="0B786DD6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5C87245"/>
    <w:multiLevelType w:val="multilevel"/>
    <w:tmpl w:val="379A829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9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C6520"/>
    <w:multiLevelType w:val="multilevel"/>
    <w:tmpl w:val="BE6A5F1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8C2EF4"/>
    <w:multiLevelType w:val="multilevel"/>
    <w:tmpl w:val="253E106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2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33">
    <w:nsid w:val="6EBF6C8E"/>
    <w:multiLevelType w:val="hybridMultilevel"/>
    <w:tmpl w:val="B434C476"/>
    <w:lvl w:ilvl="0" w:tplc="5EA68886">
      <w:start w:val="1"/>
      <w:numFmt w:val="decimal"/>
      <w:isLgl/>
      <w:lvlText w:val="%1.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096960"/>
    <w:multiLevelType w:val="multilevel"/>
    <w:tmpl w:val="A4C2566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35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603CE"/>
    <w:multiLevelType w:val="multilevel"/>
    <w:tmpl w:val="5256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DC77CD6"/>
    <w:multiLevelType w:val="multilevel"/>
    <w:tmpl w:val="A4C2566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39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27"/>
  </w:num>
  <w:num w:numId="7">
    <w:abstractNumId w:val="38"/>
  </w:num>
  <w:num w:numId="8">
    <w:abstractNumId w:val="34"/>
  </w:num>
  <w:num w:numId="9">
    <w:abstractNumId w:val="28"/>
  </w:num>
  <w:num w:numId="10">
    <w:abstractNumId w:val="32"/>
  </w:num>
  <w:num w:numId="11">
    <w:abstractNumId w:val="2"/>
  </w:num>
  <w:num w:numId="12">
    <w:abstractNumId w:val="33"/>
  </w:num>
  <w:num w:numId="13">
    <w:abstractNumId w:val="23"/>
  </w:num>
  <w:num w:numId="14">
    <w:abstractNumId w:val="3"/>
  </w:num>
  <w:num w:numId="15">
    <w:abstractNumId w:val="19"/>
  </w:num>
  <w:num w:numId="16">
    <w:abstractNumId w:val="31"/>
  </w:num>
  <w:num w:numId="17">
    <w:abstractNumId w:val="25"/>
  </w:num>
  <w:num w:numId="18">
    <w:abstractNumId w:val="17"/>
  </w:num>
  <w:num w:numId="19">
    <w:abstractNumId w:val="22"/>
  </w:num>
  <w:num w:numId="20">
    <w:abstractNumId w:val="26"/>
  </w:num>
  <w:num w:numId="21">
    <w:abstractNumId w:val="36"/>
    <w:lvlOverride w:ilvl="0">
      <w:startOverride w:val="2"/>
    </w:lvlOverride>
  </w:num>
  <w:num w:numId="22">
    <w:abstractNumId w:val="36"/>
    <w:lvlOverride w:ilvl="0">
      <w:startOverride w:val="3"/>
    </w:lvlOverride>
  </w:num>
  <w:num w:numId="23">
    <w:abstractNumId w:val="36"/>
    <w:lvlOverride w:ilvl="0">
      <w:startOverride w:val="4"/>
    </w:lvlOverride>
  </w:num>
  <w:num w:numId="24">
    <w:abstractNumId w:val="11"/>
  </w:num>
  <w:num w:numId="25">
    <w:abstractNumId w:val="13"/>
  </w:num>
  <w:num w:numId="26">
    <w:abstractNumId w:val="16"/>
  </w:num>
  <w:num w:numId="27">
    <w:abstractNumId w:val="15"/>
  </w:num>
  <w:num w:numId="28">
    <w:abstractNumId w:val="29"/>
  </w:num>
  <w:num w:numId="29">
    <w:abstractNumId w:val="20"/>
  </w:num>
  <w:num w:numId="30">
    <w:abstractNumId w:val="39"/>
  </w:num>
  <w:num w:numId="31">
    <w:abstractNumId w:val="37"/>
  </w:num>
  <w:num w:numId="32">
    <w:abstractNumId w:val="8"/>
  </w:num>
  <w:num w:numId="33">
    <w:abstractNumId w:val="5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8"/>
  </w:num>
  <w:num w:numId="39">
    <w:abstractNumId w:val="12"/>
  </w:num>
  <w:num w:numId="40">
    <w:abstractNumId w:val="21"/>
  </w:num>
  <w:num w:numId="41">
    <w:abstractNumId w:val="30"/>
  </w:num>
  <w:num w:numId="42">
    <w:abstractNumId w:val="10"/>
  </w:num>
  <w:num w:numId="43">
    <w:abstractNumId w:val="4"/>
  </w:num>
  <w:num w:numId="44">
    <w:abstractNumId w:val="3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DB"/>
    <w:rsid w:val="00090743"/>
    <w:rsid w:val="00175BDF"/>
    <w:rsid w:val="002134A5"/>
    <w:rsid w:val="0023486A"/>
    <w:rsid w:val="002651BF"/>
    <w:rsid w:val="002A688D"/>
    <w:rsid w:val="002C7CCA"/>
    <w:rsid w:val="002D0237"/>
    <w:rsid w:val="002D65B3"/>
    <w:rsid w:val="003C67DE"/>
    <w:rsid w:val="00602897"/>
    <w:rsid w:val="0087438C"/>
    <w:rsid w:val="008C6F28"/>
    <w:rsid w:val="00AB1B92"/>
    <w:rsid w:val="00AB570B"/>
    <w:rsid w:val="00CD08DB"/>
    <w:rsid w:val="00D01705"/>
    <w:rsid w:val="00D11250"/>
    <w:rsid w:val="00D55D4B"/>
    <w:rsid w:val="00DB1DBD"/>
    <w:rsid w:val="00E27DF2"/>
    <w:rsid w:val="00E5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C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7CCA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C7CC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7C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C7CC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C7C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C7CC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7C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C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C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C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C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7C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7CC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7CCA"/>
  </w:style>
  <w:style w:type="paragraph" w:customStyle="1" w:styleId="a3">
    <w:name w:val="Знак Знак Знак Знак"/>
    <w:basedOn w:val="a"/>
    <w:rsid w:val="002C7C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2C7CC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7C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7CC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2C7C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C7C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C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C7CCA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2C7CCA"/>
    <w:rPr>
      <w:sz w:val="24"/>
      <w:szCs w:val="24"/>
    </w:rPr>
  </w:style>
  <w:style w:type="paragraph" w:styleId="aa">
    <w:name w:val="header"/>
    <w:basedOn w:val="a"/>
    <w:link w:val="a9"/>
    <w:unhideWhenUsed/>
    <w:rsid w:val="002C7CC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C7CCA"/>
  </w:style>
  <w:style w:type="character" w:customStyle="1" w:styleId="ab">
    <w:name w:val="Нижний колонтитул Знак"/>
    <w:link w:val="ac"/>
    <w:rsid w:val="002C7CCA"/>
    <w:rPr>
      <w:noProof/>
      <w:sz w:val="24"/>
      <w:szCs w:val="24"/>
    </w:rPr>
  </w:style>
  <w:style w:type="paragraph" w:styleId="ac">
    <w:name w:val="footer"/>
    <w:basedOn w:val="a"/>
    <w:link w:val="ab"/>
    <w:unhideWhenUsed/>
    <w:rsid w:val="002C7CCA"/>
    <w:pPr>
      <w:tabs>
        <w:tab w:val="center" w:pos="4677"/>
        <w:tab w:val="right" w:pos="9355"/>
      </w:tabs>
      <w:spacing w:after="0" w:line="240" w:lineRule="auto"/>
    </w:pPr>
    <w:rPr>
      <w:noProof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2C7CCA"/>
  </w:style>
  <w:style w:type="character" w:customStyle="1" w:styleId="31">
    <w:name w:val="Основной текст 3 Знак"/>
    <w:link w:val="32"/>
    <w:semiHidden/>
    <w:rsid w:val="002C7CCA"/>
    <w:rPr>
      <w:noProof/>
      <w:sz w:val="28"/>
      <w:szCs w:val="24"/>
    </w:rPr>
  </w:style>
  <w:style w:type="paragraph" w:styleId="32">
    <w:name w:val="Body Text 3"/>
    <w:basedOn w:val="a"/>
    <w:link w:val="31"/>
    <w:semiHidden/>
    <w:unhideWhenUsed/>
    <w:rsid w:val="002C7CCA"/>
    <w:pPr>
      <w:spacing w:after="0" w:line="240" w:lineRule="auto"/>
    </w:pPr>
    <w:rPr>
      <w:noProof/>
      <w:sz w:val="28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2C7CCA"/>
    <w:rPr>
      <w:sz w:val="16"/>
      <w:szCs w:val="16"/>
    </w:rPr>
  </w:style>
  <w:style w:type="paragraph" w:styleId="ad">
    <w:name w:val="Document Map"/>
    <w:basedOn w:val="a"/>
    <w:link w:val="ae"/>
    <w:semiHidden/>
    <w:rsid w:val="002C7C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2C7C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2C7C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2C7C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basedOn w:val="a"/>
    <w:next w:val="af2"/>
    <w:unhideWhenUsed/>
    <w:rsid w:val="002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2C7CCA"/>
    <w:rPr>
      <w:b/>
      <w:bCs/>
    </w:rPr>
  </w:style>
  <w:style w:type="paragraph" w:customStyle="1" w:styleId="ConsPlusTitle">
    <w:name w:val="ConsPlusTitle"/>
    <w:uiPriority w:val="99"/>
    <w:rsid w:val="002C7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2C7CCA"/>
    <w:pPr>
      <w:ind w:left="720"/>
    </w:pPr>
    <w:rPr>
      <w:rFonts w:ascii="Calibri" w:eastAsia="Times New Roman" w:hAnsi="Calibri" w:cs="Calibri"/>
      <w:lang w:eastAsia="ru-RU"/>
    </w:rPr>
  </w:style>
  <w:style w:type="character" w:styleId="af5">
    <w:name w:val="Hyperlink"/>
    <w:uiPriority w:val="99"/>
    <w:rsid w:val="002C7CCA"/>
    <w:rPr>
      <w:color w:val="0000FF"/>
      <w:u w:val="single"/>
    </w:rPr>
  </w:style>
  <w:style w:type="character" w:styleId="af6">
    <w:name w:val="page number"/>
    <w:rsid w:val="002C7CCA"/>
  </w:style>
  <w:style w:type="character" w:styleId="af7">
    <w:name w:val="FollowedHyperlink"/>
    <w:rsid w:val="002C7CCA"/>
    <w:rPr>
      <w:color w:val="800080"/>
      <w:u w:val="single"/>
    </w:rPr>
  </w:style>
  <w:style w:type="character" w:customStyle="1" w:styleId="af8">
    <w:name w:val="Цветовое выделение"/>
    <w:rsid w:val="002C7CCA"/>
    <w:rPr>
      <w:b/>
      <w:bCs/>
      <w:color w:val="000080"/>
      <w:szCs w:val="20"/>
    </w:rPr>
  </w:style>
  <w:style w:type="character" w:customStyle="1" w:styleId="af9">
    <w:name w:val="Гипертекстовая ссылка"/>
    <w:rsid w:val="002C7CCA"/>
    <w:rPr>
      <w:b/>
      <w:bCs/>
      <w:color w:val="008000"/>
      <w:szCs w:val="20"/>
      <w:u w:val="single"/>
    </w:rPr>
  </w:style>
  <w:style w:type="paragraph" w:customStyle="1" w:styleId="afa">
    <w:name w:val="Таблицы (моноширинный)"/>
    <w:basedOn w:val="a"/>
    <w:next w:val="a"/>
    <w:rsid w:val="002C7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2C7CCA"/>
  </w:style>
  <w:style w:type="paragraph" w:styleId="afc">
    <w:name w:val="annotation text"/>
    <w:basedOn w:val="a"/>
    <w:link w:val="afb"/>
    <w:semiHidden/>
    <w:rsid w:val="002C7CCA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2C7CCA"/>
    <w:rPr>
      <w:sz w:val="20"/>
      <w:szCs w:val="20"/>
    </w:rPr>
  </w:style>
  <w:style w:type="character" w:styleId="afd">
    <w:name w:val="annotation reference"/>
    <w:semiHidden/>
    <w:rsid w:val="002C7CCA"/>
    <w:rPr>
      <w:sz w:val="16"/>
      <w:szCs w:val="16"/>
    </w:rPr>
  </w:style>
  <w:style w:type="paragraph" w:customStyle="1" w:styleId="ConsPlusNormal">
    <w:name w:val="ConsPlusNormal"/>
    <w:rsid w:val="002C7C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"/>
    <w:link w:val="aff"/>
    <w:rsid w:val="002C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2C7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aliases w:val="5"/>
    <w:uiPriority w:val="99"/>
    <w:rsid w:val="002C7CCA"/>
    <w:rPr>
      <w:vertAlign w:val="superscript"/>
    </w:rPr>
  </w:style>
  <w:style w:type="paragraph" w:customStyle="1" w:styleId="ConsNonformat">
    <w:name w:val="ConsNonformat"/>
    <w:rsid w:val="002C7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C7C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2C7CCA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2C7CC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No Spacing"/>
    <w:uiPriority w:val="1"/>
    <w:qFormat/>
    <w:rsid w:val="002C7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2">
    <w:name w:val="Тема примечания Знак"/>
    <w:link w:val="aff3"/>
    <w:uiPriority w:val="99"/>
    <w:semiHidden/>
    <w:rsid w:val="002C7CCA"/>
    <w:rPr>
      <w:rFonts w:ascii="Calibri" w:hAnsi="Calibri" w:cs="Calibri"/>
      <w:b/>
      <w:bCs/>
    </w:rPr>
  </w:style>
  <w:style w:type="paragraph" w:styleId="aff3">
    <w:name w:val="annotation subject"/>
    <w:basedOn w:val="afc"/>
    <w:next w:val="afc"/>
    <w:link w:val="aff2"/>
    <w:uiPriority w:val="99"/>
    <w:semiHidden/>
    <w:unhideWhenUsed/>
    <w:rsid w:val="002C7CCA"/>
    <w:pPr>
      <w:spacing w:after="200"/>
    </w:pPr>
    <w:rPr>
      <w:rFonts w:ascii="Calibri" w:hAnsi="Calibri" w:cs="Calibri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C7CCA"/>
    <w:rPr>
      <w:b/>
      <w:bCs/>
      <w:sz w:val="20"/>
      <w:szCs w:val="20"/>
    </w:rPr>
  </w:style>
  <w:style w:type="paragraph" w:customStyle="1" w:styleId="s3">
    <w:name w:val="s_3"/>
    <w:basedOn w:val="a"/>
    <w:rsid w:val="002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2C7CCA"/>
    <w:rPr>
      <w:i/>
      <w:iCs/>
    </w:rPr>
  </w:style>
  <w:style w:type="paragraph" w:customStyle="1" w:styleId="s1">
    <w:name w:val="s_1"/>
    <w:basedOn w:val="a"/>
    <w:rsid w:val="002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сноски Знак1"/>
    <w:rsid w:val="002C7CCA"/>
  </w:style>
  <w:style w:type="paragraph" w:styleId="25">
    <w:name w:val="toc 2"/>
    <w:basedOn w:val="a"/>
    <w:next w:val="a"/>
    <w:autoRedefine/>
    <w:uiPriority w:val="39"/>
    <w:qFormat/>
    <w:rsid w:val="002C7CCA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2C7CCA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C7CCA"/>
    <w:pPr>
      <w:spacing w:after="100"/>
    </w:pPr>
    <w:rPr>
      <w:rFonts w:ascii="Calibri" w:eastAsia="MS Mincho" w:hAnsi="Calibri" w:cs="Times New Roman"/>
      <w:lang w:eastAsia="ru-RU"/>
    </w:rPr>
  </w:style>
  <w:style w:type="character" w:customStyle="1" w:styleId="aff5">
    <w:name w:val="Неразрешенное упоминание"/>
    <w:uiPriority w:val="99"/>
    <w:semiHidden/>
    <w:unhideWhenUsed/>
    <w:rsid w:val="002C7CCA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semiHidden/>
    <w:unhideWhenUsed/>
    <w:rsid w:val="002C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C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7CCA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C7CC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7C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C7CC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C7C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C7CC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7C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C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C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C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C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7C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7CC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7CCA"/>
  </w:style>
  <w:style w:type="paragraph" w:customStyle="1" w:styleId="a3">
    <w:name w:val="Знак Знак Знак Знак"/>
    <w:basedOn w:val="a"/>
    <w:rsid w:val="002C7C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2C7CC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7C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7CC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2C7C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C7C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C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C7CCA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2C7CCA"/>
    <w:rPr>
      <w:sz w:val="24"/>
      <w:szCs w:val="24"/>
    </w:rPr>
  </w:style>
  <w:style w:type="paragraph" w:styleId="aa">
    <w:name w:val="header"/>
    <w:basedOn w:val="a"/>
    <w:link w:val="a9"/>
    <w:unhideWhenUsed/>
    <w:rsid w:val="002C7CC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C7CCA"/>
  </w:style>
  <w:style w:type="character" w:customStyle="1" w:styleId="ab">
    <w:name w:val="Нижний колонтитул Знак"/>
    <w:link w:val="ac"/>
    <w:rsid w:val="002C7CCA"/>
    <w:rPr>
      <w:noProof/>
      <w:sz w:val="24"/>
      <w:szCs w:val="24"/>
    </w:rPr>
  </w:style>
  <w:style w:type="paragraph" w:styleId="ac">
    <w:name w:val="footer"/>
    <w:basedOn w:val="a"/>
    <w:link w:val="ab"/>
    <w:unhideWhenUsed/>
    <w:rsid w:val="002C7CCA"/>
    <w:pPr>
      <w:tabs>
        <w:tab w:val="center" w:pos="4677"/>
        <w:tab w:val="right" w:pos="9355"/>
      </w:tabs>
      <w:spacing w:after="0" w:line="240" w:lineRule="auto"/>
    </w:pPr>
    <w:rPr>
      <w:noProof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2C7CCA"/>
  </w:style>
  <w:style w:type="character" w:customStyle="1" w:styleId="31">
    <w:name w:val="Основной текст 3 Знак"/>
    <w:link w:val="32"/>
    <w:semiHidden/>
    <w:rsid w:val="002C7CCA"/>
    <w:rPr>
      <w:noProof/>
      <w:sz w:val="28"/>
      <w:szCs w:val="24"/>
    </w:rPr>
  </w:style>
  <w:style w:type="paragraph" w:styleId="32">
    <w:name w:val="Body Text 3"/>
    <w:basedOn w:val="a"/>
    <w:link w:val="31"/>
    <w:semiHidden/>
    <w:unhideWhenUsed/>
    <w:rsid w:val="002C7CCA"/>
    <w:pPr>
      <w:spacing w:after="0" w:line="240" w:lineRule="auto"/>
    </w:pPr>
    <w:rPr>
      <w:noProof/>
      <w:sz w:val="28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2C7CCA"/>
    <w:rPr>
      <w:sz w:val="16"/>
      <w:szCs w:val="16"/>
    </w:rPr>
  </w:style>
  <w:style w:type="paragraph" w:styleId="ad">
    <w:name w:val="Document Map"/>
    <w:basedOn w:val="a"/>
    <w:link w:val="ae"/>
    <w:semiHidden/>
    <w:rsid w:val="002C7C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2C7C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2C7C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2C7C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basedOn w:val="a"/>
    <w:next w:val="af2"/>
    <w:unhideWhenUsed/>
    <w:rsid w:val="002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2C7CCA"/>
    <w:rPr>
      <w:b/>
      <w:bCs/>
    </w:rPr>
  </w:style>
  <w:style w:type="paragraph" w:customStyle="1" w:styleId="ConsPlusTitle">
    <w:name w:val="ConsPlusTitle"/>
    <w:uiPriority w:val="99"/>
    <w:rsid w:val="002C7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2C7CCA"/>
    <w:pPr>
      <w:ind w:left="720"/>
    </w:pPr>
    <w:rPr>
      <w:rFonts w:ascii="Calibri" w:eastAsia="Times New Roman" w:hAnsi="Calibri" w:cs="Calibri"/>
      <w:lang w:eastAsia="ru-RU"/>
    </w:rPr>
  </w:style>
  <w:style w:type="character" w:styleId="af5">
    <w:name w:val="Hyperlink"/>
    <w:uiPriority w:val="99"/>
    <w:rsid w:val="002C7CCA"/>
    <w:rPr>
      <w:color w:val="0000FF"/>
      <w:u w:val="single"/>
    </w:rPr>
  </w:style>
  <w:style w:type="character" w:styleId="af6">
    <w:name w:val="page number"/>
    <w:rsid w:val="002C7CCA"/>
  </w:style>
  <w:style w:type="character" w:styleId="af7">
    <w:name w:val="FollowedHyperlink"/>
    <w:rsid w:val="002C7CCA"/>
    <w:rPr>
      <w:color w:val="800080"/>
      <w:u w:val="single"/>
    </w:rPr>
  </w:style>
  <w:style w:type="character" w:customStyle="1" w:styleId="af8">
    <w:name w:val="Цветовое выделение"/>
    <w:rsid w:val="002C7CCA"/>
    <w:rPr>
      <w:b/>
      <w:bCs/>
      <w:color w:val="000080"/>
      <w:szCs w:val="20"/>
    </w:rPr>
  </w:style>
  <w:style w:type="character" w:customStyle="1" w:styleId="af9">
    <w:name w:val="Гипертекстовая ссылка"/>
    <w:rsid w:val="002C7CCA"/>
    <w:rPr>
      <w:b/>
      <w:bCs/>
      <w:color w:val="008000"/>
      <w:szCs w:val="20"/>
      <w:u w:val="single"/>
    </w:rPr>
  </w:style>
  <w:style w:type="paragraph" w:customStyle="1" w:styleId="afa">
    <w:name w:val="Таблицы (моноширинный)"/>
    <w:basedOn w:val="a"/>
    <w:next w:val="a"/>
    <w:rsid w:val="002C7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2C7CCA"/>
  </w:style>
  <w:style w:type="paragraph" w:styleId="afc">
    <w:name w:val="annotation text"/>
    <w:basedOn w:val="a"/>
    <w:link w:val="afb"/>
    <w:semiHidden/>
    <w:rsid w:val="002C7CCA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2C7CCA"/>
    <w:rPr>
      <w:sz w:val="20"/>
      <w:szCs w:val="20"/>
    </w:rPr>
  </w:style>
  <w:style w:type="character" w:styleId="afd">
    <w:name w:val="annotation reference"/>
    <w:semiHidden/>
    <w:rsid w:val="002C7CCA"/>
    <w:rPr>
      <w:sz w:val="16"/>
      <w:szCs w:val="16"/>
    </w:rPr>
  </w:style>
  <w:style w:type="paragraph" w:customStyle="1" w:styleId="ConsPlusNormal">
    <w:name w:val="ConsPlusNormal"/>
    <w:rsid w:val="002C7C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"/>
    <w:link w:val="aff"/>
    <w:rsid w:val="002C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2C7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aliases w:val="5"/>
    <w:uiPriority w:val="99"/>
    <w:rsid w:val="002C7CCA"/>
    <w:rPr>
      <w:vertAlign w:val="superscript"/>
    </w:rPr>
  </w:style>
  <w:style w:type="paragraph" w:customStyle="1" w:styleId="ConsNonformat">
    <w:name w:val="ConsNonformat"/>
    <w:rsid w:val="002C7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C7C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2C7CCA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2C7CC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No Spacing"/>
    <w:uiPriority w:val="1"/>
    <w:qFormat/>
    <w:rsid w:val="002C7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2">
    <w:name w:val="Тема примечания Знак"/>
    <w:link w:val="aff3"/>
    <w:uiPriority w:val="99"/>
    <w:semiHidden/>
    <w:rsid w:val="002C7CCA"/>
    <w:rPr>
      <w:rFonts w:ascii="Calibri" w:hAnsi="Calibri" w:cs="Calibri"/>
      <w:b/>
      <w:bCs/>
    </w:rPr>
  </w:style>
  <w:style w:type="paragraph" w:styleId="aff3">
    <w:name w:val="annotation subject"/>
    <w:basedOn w:val="afc"/>
    <w:next w:val="afc"/>
    <w:link w:val="aff2"/>
    <w:uiPriority w:val="99"/>
    <w:semiHidden/>
    <w:unhideWhenUsed/>
    <w:rsid w:val="002C7CCA"/>
    <w:pPr>
      <w:spacing w:after="200"/>
    </w:pPr>
    <w:rPr>
      <w:rFonts w:ascii="Calibri" w:hAnsi="Calibri" w:cs="Calibri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C7CCA"/>
    <w:rPr>
      <w:b/>
      <w:bCs/>
      <w:sz w:val="20"/>
      <w:szCs w:val="20"/>
    </w:rPr>
  </w:style>
  <w:style w:type="paragraph" w:customStyle="1" w:styleId="s3">
    <w:name w:val="s_3"/>
    <w:basedOn w:val="a"/>
    <w:rsid w:val="002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2C7CCA"/>
    <w:rPr>
      <w:i/>
      <w:iCs/>
    </w:rPr>
  </w:style>
  <w:style w:type="paragraph" w:customStyle="1" w:styleId="s1">
    <w:name w:val="s_1"/>
    <w:basedOn w:val="a"/>
    <w:rsid w:val="002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сноски Знак1"/>
    <w:rsid w:val="002C7CCA"/>
  </w:style>
  <w:style w:type="paragraph" w:styleId="25">
    <w:name w:val="toc 2"/>
    <w:basedOn w:val="a"/>
    <w:next w:val="a"/>
    <w:autoRedefine/>
    <w:uiPriority w:val="39"/>
    <w:qFormat/>
    <w:rsid w:val="002C7CCA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2C7CCA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C7CCA"/>
    <w:pPr>
      <w:spacing w:after="100"/>
    </w:pPr>
    <w:rPr>
      <w:rFonts w:ascii="Calibri" w:eastAsia="MS Mincho" w:hAnsi="Calibri" w:cs="Times New Roman"/>
      <w:lang w:eastAsia="ru-RU"/>
    </w:rPr>
  </w:style>
  <w:style w:type="character" w:customStyle="1" w:styleId="aff5">
    <w:name w:val="Неразрешенное упоминание"/>
    <w:uiPriority w:val="99"/>
    <w:semiHidden/>
    <w:unhideWhenUsed/>
    <w:rsid w:val="002C7CCA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semiHidden/>
    <w:unhideWhenUsed/>
    <w:rsid w:val="002C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AD45C726BF92B40F425F40577517F47A23F11D702AB7C82a6HAL" TargetMode="External"/><Relationship Id="rId21" Type="http://schemas.openxmlformats.org/officeDocument/2006/relationships/hyperlink" Target="consultantplus://offline/ref=F4E544E0851FF722673DBDC04B582BD558595D577BD45C726BF92B40F425F40577517F47A23F11D702AB7C82a6HAL" TargetMode="External"/><Relationship Id="rId34" Type="http://schemas.openxmlformats.org/officeDocument/2006/relationships/hyperlink" Target="consultantplus://offline/ref=F4E544E0851FF722673DBDC04B582BD5585D525E7CD45C726BF92B40F425F40577517F47A23F11D702AB7C82a6HAL" TargetMode="External"/><Relationship Id="rId42" Type="http://schemas.openxmlformats.org/officeDocument/2006/relationships/hyperlink" Target="consultantplus://offline/ref=F4E544E0851FF722673DBDC04B582BD55B5F595971D45C726BF92B40F425F40577517F47A23F11D702AB7C82a6HAL" TargetMode="External"/><Relationship Id="rId47" Type="http://schemas.openxmlformats.org/officeDocument/2006/relationships/hyperlink" Target="consultantplus://offline/ref=F4E544E0851FF722673DBDC04B582BD5585A5E5770D45C726BF92B40F425F40577517F47A23F11D702AB7C82a6HAL" TargetMode="External"/><Relationship Id="rId50" Type="http://schemas.openxmlformats.org/officeDocument/2006/relationships/hyperlink" Target="consultantplus://offline/ref=F4E544E0851FF722673DBDC04B582BD5585A525E7ED45C726BF92B40F425F40577517F47A23F11D702AB7C82a6HAL" TargetMode="External"/><Relationship Id="rId55" Type="http://schemas.openxmlformats.org/officeDocument/2006/relationships/hyperlink" Target="consultantplus://offline/ref=F4E544E0851FF722673DBDC04B582BD5585E5B5778D45C726BF92B40F425F40577517F47A23F11D702AB7C82a6HAL" TargetMode="External"/><Relationship Id="rId63" Type="http://schemas.openxmlformats.org/officeDocument/2006/relationships/hyperlink" Target="consultantplus://offline/ref=F4E544E0851FF722673DBDC04B582BD5585C5F597CD45C726BF92B40F425F40577517F47A23F11D702AB7C82a6HAL" TargetMode="External"/><Relationship Id="rId68" Type="http://schemas.openxmlformats.org/officeDocument/2006/relationships/hyperlink" Target="consultantplus://offline/ref=F4E544E0851FF722673DBDC04B582BD5585C5F597FD45C726BF92B40F425F40577517F47A23F11D702AB7C82a6HAL" TargetMode="External"/><Relationship Id="rId76" Type="http://schemas.openxmlformats.org/officeDocument/2006/relationships/hyperlink" Target="consultantplus://offline/ref=F4E544E0851FF722673DBDC04B582BD55B51535A7AD45C726BF92B40F425F40577517F47A23F11D702AB7C82a6HAL" TargetMode="External"/><Relationship Id="rId84" Type="http://schemas.openxmlformats.org/officeDocument/2006/relationships/hyperlink" Target="consultantplus://offline/ref=F4E544E0851FF722673DBDC04B582BD55B5F5F5A71D45C726BF92B40F425F40577517F47A23F11D702AB7C82a6HAL" TargetMode="External"/><Relationship Id="rId89" Type="http://schemas.openxmlformats.org/officeDocument/2006/relationships/hyperlink" Target="consultantplus://offline/ref=F4E544E0851FF722673DBDC04B582BD55D5059577389567A32F52947FB7AF11066097044BD2113CB1EA97Ea8H2L" TargetMode="External"/><Relationship Id="rId97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B515D5E7AD45C726BF92B40F425F40577517F47A23F11D702AB7C82a6HAL" TargetMode="External"/><Relationship Id="rId92" Type="http://schemas.openxmlformats.org/officeDocument/2006/relationships/hyperlink" Target="consultantplus://offline/ref=F4E544E0851FF722673DBDC04B582BD5585F5A5C79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A5C7CD45C726BF92B40F425F40577517F47A23F11D702AB7C82a6HAL" TargetMode="External"/><Relationship Id="rId29" Type="http://schemas.openxmlformats.org/officeDocument/2006/relationships/hyperlink" Target="consultantplus://offline/ref=F4E544E0851FF722673DBDC04B582BD5585F525F7CD45C726BF92B40F425F40577517F47A23F11D702AB7C82a6HAL" TargetMode="External"/><Relationship Id="rId11" Type="http://schemas.openxmlformats.org/officeDocument/2006/relationships/hyperlink" Target="http://kozin.smol-ray.ru/" TargetMode="External"/><Relationship Id="rId24" Type="http://schemas.openxmlformats.org/officeDocument/2006/relationships/hyperlink" Target="consultantplus://offline/ref=F4E544E0851FF722673DBDC04B582BD558595D577AD45C726BF92B40F425F40577517F47A23F11D702AB7C82a6HAL" TargetMode="External"/><Relationship Id="rId32" Type="http://schemas.openxmlformats.org/officeDocument/2006/relationships/hyperlink" Target="consultantplus://offline/ref=F4E544E0851FF722673DBDC04B582BD558585A5D78D45C726BF92B40F425F40577517F47A23F11D702AB7C82a6HAL" TargetMode="External"/><Relationship Id="rId37" Type="http://schemas.openxmlformats.org/officeDocument/2006/relationships/hyperlink" Target="consultantplus://offline/ref=F4E544E0851FF722673DBDC04B582BD5585A5C587CD45C726BF92B40F425F40577517F47A23F11D702AB7C82a6HAL" TargetMode="External"/><Relationship Id="rId40" Type="http://schemas.openxmlformats.org/officeDocument/2006/relationships/hyperlink" Target="consultantplus://offline/ref=F4E544E0851FF722673DBDC04B582BD5585D535970D45C726BF92B40F425F40577517F47A23F11D702AB7C82a6HAL" TargetMode="External"/><Relationship Id="rId45" Type="http://schemas.openxmlformats.org/officeDocument/2006/relationships/hyperlink" Target="consultantplus://offline/ref=F4E544E0851FF722673DBDC04B582BD5585A535678D45C726BF92B40F425F40577517F47A23F11D702AB7C82a6HAL" TargetMode="External"/><Relationship Id="rId53" Type="http://schemas.openxmlformats.org/officeDocument/2006/relationships/hyperlink" Target="consultantplus://offline/ref=F4E544E0851FF722673DBDC04B582BD5585D52587AD45C726BF92B40F425F40577517F47A23F11D702AB7C82a6HAL" TargetMode="External"/><Relationship Id="rId58" Type="http://schemas.openxmlformats.org/officeDocument/2006/relationships/hyperlink" Target="consultantplus://offline/ref=F4E544E0851FF722673DBDC04B582BD55B5E58597AD45C726BF92B40F425F40577517F47A23F11D702AB7C82a6HAL" TargetMode="External"/><Relationship Id="rId66" Type="http://schemas.openxmlformats.org/officeDocument/2006/relationships/hyperlink" Target="consultantplus://offline/ref=F4E544E0851FF722673DBDC04B582BD5585C5F597ED45C726BF92B40F425F40577517F47A23F11D702AB7C82a6HAL" TargetMode="External"/><Relationship Id="rId74" Type="http://schemas.openxmlformats.org/officeDocument/2006/relationships/hyperlink" Target="consultantplus://offline/ref=F4E544E0851FF722673DBDC04B582BD55B51525B71D45C726BF92B40F425F40577517F47A23F11D702AB7C82a6HAL" TargetMode="External"/><Relationship Id="rId79" Type="http://schemas.openxmlformats.org/officeDocument/2006/relationships/hyperlink" Target="consultantplus://offline/ref=F4E544E0851FF722673DA1C057582BD55E5B53577389567A32F52947FB7AF11066097044BD2113CB1EA97Ea8H2L" TargetMode="External"/><Relationship Id="rId87" Type="http://schemas.openxmlformats.org/officeDocument/2006/relationships/hyperlink" Target="consultantplus://offline/ref=F4E544E0851FF722673DA1C057582BD55E5D5B587389567A32F52947FB7AF11066097044BD2113CB1EA97Ea8H2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87ED45C726BF92B40F425F40577517F47A23F11D702AB7C82a6HAL" TargetMode="External"/><Relationship Id="rId82" Type="http://schemas.openxmlformats.org/officeDocument/2006/relationships/hyperlink" Target="consultantplus://offline/ref=F4E544E0851FF722673DBDC04B582BD55B5E535B79D45C726BF92B40F425F40577517F47A23F11D702AB7C82a6HAL" TargetMode="External"/><Relationship Id="rId90" Type="http://schemas.openxmlformats.org/officeDocument/2006/relationships/hyperlink" Target="consultantplus://offline/ref=F4E544E0851FF722673DBDC04B582BD55B505B5F70D45C726BF92B40F425F40577517F47A23F11D702AB7C82a6HAL" TargetMode="External"/><Relationship Id="rId95" Type="http://schemas.openxmlformats.org/officeDocument/2006/relationships/hyperlink" Target="consultantplus://offline/ref=F4E544E0851FF722673DA1C057582BD55C595B5E7389567A32F52947FB7AF11066097044BD2113CB1EA97Ea8H2L" TargetMode="External"/><Relationship Id="rId19" Type="http://schemas.openxmlformats.org/officeDocument/2006/relationships/hyperlink" Target="consultantplus://offline/ref=F4E544E0851FF722673DBDC04B582BD5585E5B5D71D45C726BF92B40F425F40577517F47A23F11D702AB7C82a6HAL" TargetMode="External"/><Relationship Id="rId14" Type="http://schemas.openxmlformats.org/officeDocument/2006/relationships/hyperlink" Target="consultantplus://offline/ref=F4E544E0851FF722673DBDC04B582BD5585C5F5F7DD45C726BF92B40F425F40577517F47A23F11D702AB7C82a6HAL" TargetMode="External"/><Relationship Id="rId22" Type="http://schemas.openxmlformats.org/officeDocument/2006/relationships/hyperlink" Target="consultantplus://offline/ref=F4E544E0851FF722673DBDC04B582BD558595C5D7DD45C726BF92B40F425F40577517F47A23F11D702AB7C82a6HAL" TargetMode="External"/><Relationship Id="rId27" Type="http://schemas.openxmlformats.org/officeDocument/2006/relationships/hyperlink" Target="consultantplus://offline/ref=F4E544E0851FF722673DBDC04B582BD5585C5F5F7BD45C726BF92B40F425F40577517F47A23F11D702AB7C82a6HAL" TargetMode="External"/><Relationship Id="rId30" Type="http://schemas.openxmlformats.org/officeDocument/2006/relationships/hyperlink" Target="consultantplus://offline/ref=F4E544E0851FF722673DBDC04B582BD5585C5B5F7DD45C726BF92B40F425F40577517F47A23F11D702AB7C82a6HAL" TargetMode="External"/><Relationship Id="rId35" Type="http://schemas.openxmlformats.org/officeDocument/2006/relationships/hyperlink" Target="consultantplus://offline/ref=F4E544E0851FF722673DBDC04B582BD5585C5B5C7BD45C726BF92B40F425F40577517F47A23F11D702AB7C82a6HAL" TargetMode="External"/><Relationship Id="rId43" Type="http://schemas.openxmlformats.org/officeDocument/2006/relationships/hyperlink" Target="consultantplus://offline/ref=F4E544E0851FF722673DBDC04B582BD5585C5A567DD45C726BF92B40F425F40577517F47A23F11D702AB7C82a6HAL" TargetMode="External"/><Relationship Id="rId48" Type="http://schemas.openxmlformats.org/officeDocument/2006/relationships/hyperlink" Target="consultantplus://offline/ref=F4E544E0851FF722673DBDC04B582BD5585C5F5A7FD45C726BF92B40F425F40577517F47A23F11D702AB7C82a6HAL" TargetMode="External"/><Relationship Id="rId56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4" Type="http://schemas.openxmlformats.org/officeDocument/2006/relationships/hyperlink" Target="consultantplus://offline/ref=F4E544E0851FF722673DBDC04B582BD5585C5F597DD45C726BF92B40F425F40577517F47A23F11D702AB7C82a6HAL" TargetMode="External"/><Relationship Id="rId69" Type="http://schemas.openxmlformats.org/officeDocument/2006/relationships/hyperlink" Target="consultantplus://offline/ref=F4E544E0851FF722673DBDC04B582BD5585C5C5E7BD45C726BF92B40F425F40577517F47A23F11D702AB7C82a6HAL" TargetMode="External"/><Relationship Id="rId77" Type="http://schemas.openxmlformats.org/officeDocument/2006/relationships/hyperlink" Target="consultantplus://offline/ref=F4E544E0851FF722673DBDC04B582BD55B5D595F7BD45C726BF92B40F425F40577517F47A23F11D702AB7C82a6HA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B5D5B597FD45C726BF92B40F425F40577517F47A23F11D702AB7C82a6HAL" TargetMode="External"/><Relationship Id="rId72" Type="http://schemas.openxmlformats.org/officeDocument/2006/relationships/hyperlink" Target="consultantplus://offline/ref=F4E544E0851FF722673DBDC04B582BD55B515D5E79D45C726BF92B40F425F40577517F47A23F11D702AB7C82a6HAL" TargetMode="External"/><Relationship Id="rId80" Type="http://schemas.openxmlformats.org/officeDocument/2006/relationships/hyperlink" Target="consultantplus://offline/ref=F4E544E0851FF722673DA1C057582BD5585E5B5C7389567A32F52947FB7AF11066097044BD2113CB1EA97Ea8H2L" TargetMode="External"/><Relationship Id="rId85" Type="http://schemas.openxmlformats.org/officeDocument/2006/relationships/hyperlink" Target="consultantplus://offline/ref=F4E544E0851FF722673DA1C057582BD558585A5F7389567A32F52947FB7AF11066097044BD2113CB1EA97Ea8H2L" TargetMode="External"/><Relationship Id="rId93" Type="http://schemas.openxmlformats.org/officeDocument/2006/relationships/hyperlink" Target="consultantplus://offline/ref=F4E544E0851FF722673DBDC04B582BD5585A5E597DD45C726BF92B40F425F40577517F47A23F11D702AB7C82a6HAL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D525C70D45C726BF92B40F425F40577517F47A23F11D702AB7C82a6HAL" TargetMode="External"/><Relationship Id="rId17" Type="http://schemas.openxmlformats.org/officeDocument/2006/relationships/hyperlink" Target="consultantplus://offline/ref=F4E544E0851FF722673DBDC04B582BD5585C585A7AD45C726BF92B40F425F40577517F47A23F11D702AB7C82a6HAL" TargetMode="External"/><Relationship Id="rId25" Type="http://schemas.openxmlformats.org/officeDocument/2006/relationships/hyperlink" Target="consultantplus://offline/ref=F4E544E0851FF722673DBDC04B582BD5585A5E587ED45C726BF92B40F425F40577517F47A23F11D702AB7C82a6HAL" TargetMode="External"/><Relationship Id="rId33" Type="http://schemas.openxmlformats.org/officeDocument/2006/relationships/hyperlink" Target="consultantplus://offline/ref=F4E544E0851FF722673DBDC04B582BD5585D525E7FD45C726BF92B40F425F40577517F47A23F11D702AB7C82a6HAL" TargetMode="External"/><Relationship Id="rId38" Type="http://schemas.openxmlformats.org/officeDocument/2006/relationships/hyperlink" Target="consultantplus://offline/ref=F4E544E0851FF722673DBDC04B582BD5585E59597BD45C726BF92B40F425F40577517F47A23F11D702AB7C82a6HAL" TargetMode="External"/><Relationship Id="rId46" Type="http://schemas.openxmlformats.org/officeDocument/2006/relationships/hyperlink" Target="consultantplus://offline/ref=F4E544E0851FF722673DBDC04B582BD5585C5A5C7DD45C726BF92B40F425F40577517F47A23F11D702AB7C82a6HAL" TargetMode="External"/><Relationship Id="rId59" Type="http://schemas.openxmlformats.org/officeDocument/2006/relationships/hyperlink" Target="consultantplus://offline/ref=F4E544E0851FF722673DA1C057582BD55B5A585778D45C726BF92B40F425F40577517F47A23F11D702AB7C82a6HAL" TargetMode="External"/><Relationship Id="rId67" Type="http://schemas.openxmlformats.org/officeDocument/2006/relationships/hyperlink" Target="consultantplus://offline/ref=F4E544E0851FF722673DBDC04B582BD5585C5F5B7BD45C726BF92B40F425F40577517F47A23F11D702AB7C82a6HAL" TargetMode="External"/><Relationship Id="rId20" Type="http://schemas.openxmlformats.org/officeDocument/2006/relationships/hyperlink" Target="consultantplus://offline/ref=F4E544E0851FF722673DBDC04B582BD5585F5D5A70D45C726BF92B40F425F40577517F47A23F11D702AB7C82a6HAL" TargetMode="External"/><Relationship Id="rId41" Type="http://schemas.openxmlformats.org/officeDocument/2006/relationships/hyperlink" Target="consultantplus://offline/ref=F4E544E0851FF722673DBDC04B582BD5585E5B567FD45C726BF92B40F425F40577517F47A23F11D702AB7C82a6HAL" TargetMode="External"/><Relationship Id="rId54" Type="http://schemas.openxmlformats.org/officeDocument/2006/relationships/hyperlink" Target="consultantplus://offline/ref=F4E544E0851FF722673DBDC04B582BD5585D525E7ED45C726BF92B40F425F40577517F47A23F11D702AB7C82a6HAL" TargetMode="External"/><Relationship Id="rId62" Type="http://schemas.openxmlformats.org/officeDocument/2006/relationships/hyperlink" Target="consultantplus://offline/ref=F4E544E0851FF722673DBDC04B582BD5585C5F597BD45C726BF92B40F425F40577517F47A23F11D702AB7C82a6HAL" TargetMode="External"/><Relationship Id="rId70" Type="http://schemas.openxmlformats.org/officeDocument/2006/relationships/hyperlink" Target="consultantplus://offline/ref=F4E544E0851FF722673DBDC04B582BD55B515D5D79D45C726BF92B40F425F40577517F47A23F11D702AB7C82a6HAL" TargetMode="External"/><Relationship Id="rId75" Type="http://schemas.openxmlformats.org/officeDocument/2006/relationships/hyperlink" Target="consultantplus://offline/ref=F4E544E0851FF722673DA2D54E582BD5595D535A7ED9017863A02742F32AAB0062402748A1200FD51EB77E806Aa2H0L" TargetMode="External"/><Relationship Id="rId83" Type="http://schemas.openxmlformats.org/officeDocument/2006/relationships/hyperlink" Target="consultantplus://offline/ref=F4E544E0851FF722673DBDC04B582BD5525D5D587389567A32F52947FB7AF11066097044BD2113CB1EA97Ea8H2L" TargetMode="External"/><Relationship Id="rId88" Type="http://schemas.openxmlformats.org/officeDocument/2006/relationships/hyperlink" Target="consultantplus://offline/ref=F4E544E0851FF722673DBDC04B582BD5585E5B5771D45C726BF92B40F425F40577517F47A23F11D702AB7C82a6HAL" TargetMode="External"/><Relationship Id="rId91" Type="http://schemas.openxmlformats.org/officeDocument/2006/relationships/hyperlink" Target="consultantplus://offline/ref=F4E544E0851FF722673DBDC04B582BD55B505B5F79D45C726BF92B40F425F40577517F47A23F11D702AB7C82a6HAL" TargetMode="External"/><Relationship Id="rId96" Type="http://schemas.openxmlformats.org/officeDocument/2006/relationships/hyperlink" Target="consultantplus://offline/ref=F4E544E0851FF722673DA1C057582BD55D5A5A577389567A32F52947FB7AF11066097044BD2113CB1EA97Ea8H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85A7CD45C726BF92B40F425F40577517F47A23F11D702AB7C82a6HAL" TargetMode="External"/><Relationship Id="rId23" Type="http://schemas.openxmlformats.org/officeDocument/2006/relationships/hyperlink" Target="consultantplus://offline/ref=F4E544E0851FF722673DBDC04B582BD558595E5B70D45C726BF92B40F425F40577517F47A23F11D702AB7C82a6HAL" TargetMode="External"/><Relationship Id="rId28" Type="http://schemas.openxmlformats.org/officeDocument/2006/relationships/hyperlink" Target="consultantplus://offline/ref=F4E544E0851FF722673DBDC04B582BD5585C5B587BD45C726BF92B40F425F40577517F47A23F11D702AB7C82a6HAL" TargetMode="External"/><Relationship Id="rId36" Type="http://schemas.openxmlformats.org/officeDocument/2006/relationships/hyperlink" Target="consultantplus://offline/ref=F4E544E0851FF722673DBDC04B582BD5585C5B5F7CD45C726BF92B40F425F40577517F47A23F11D702AB7C82a6HAL" TargetMode="External"/><Relationship Id="rId49" Type="http://schemas.openxmlformats.org/officeDocument/2006/relationships/hyperlink" Target="consultantplus://offline/ref=F4E544E0851FF722673DBDC04B582BD5585E5B597FD45C726BF92B40F425F40577517F47A23F11D702AB7C82a6HAL" TargetMode="External"/><Relationship Id="rId57" Type="http://schemas.openxmlformats.org/officeDocument/2006/relationships/hyperlink" Target="consultantplus://offline/ref=F4E544E0851FF722673DBDC04B582BD55B5B5F5A79D45C726BF92B40F425F40577517F47A23F11D702AB7C82a6HAL" TargetMode="Externa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31" Type="http://schemas.openxmlformats.org/officeDocument/2006/relationships/hyperlink" Target="consultantplus://offline/ref=F4E544E0851FF722673DBDC04B582BD5585A585E7BD45C726BF92B40F425F40577517F47A23F11D702AB7C82a6HAL" TargetMode="External"/><Relationship Id="rId44" Type="http://schemas.openxmlformats.org/officeDocument/2006/relationships/hyperlink" Target="consultantplus://offline/ref=F4E544E0851FF722673DBDC04B582BD5585A5D5E7DD45C726BF92B40F425F40577517F47A23F11D702AB7C82a6HAL" TargetMode="External"/><Relationship Id="rId52" Type="http://schemas.openxmlformats.org/officeDocument/2006/relationships/hyperlink" Target="consultantplus://offline/ref=F4E544E0851FF722673DBDC04B582BD55859595778D45C726BF92B40F425F40577517F47A23F11D702AB7C82a6HAL" TargetMode="External"/><Relationship Id="rId60" Type="http://schemas.openxmlformats.org/officeDocument/2006/relationships/hyperlink" Target="consultantplus://offline/ref=F4E544E0851FF722673DA1C057582BD5585F5B5870D45C726BF92B40F425F40577517F47A23F11D702AB7C82a6HAL" TargetMode="External"/><Relationship Id="rId65" Type="http://schemas.openxmlformats.org/officeDocument/2006/relationships/hyperlink" Target="consultantplus://offline/ref=F4E544E0851FF722673DBDC04B582BD5585C5F587FD45C726BF92B40F425F40577517F47A23F11D702AB7C82a6HAL" TargetMode="External"/><Relationship Id="rId73" Type="http://schemas.openxmlformats.org/officeDocument/2006/relationships/hyperlink" Target="consultantplus://offline/ref=F4E544E0851FF722673DBDC04B582BD5585C5E587AD45C726BF92B40F425F40577517F47A23F11D702AB7C82a6HAL" TargetMode="External"/><Relationship Id="rId78" Type="http://schemas.openxmlformats.org/officeDocument/2006/relationships/hyperlink" Target="consultantplus://offline/ref=F4E544E0851FF722673DBDC04B582BD55B5E5F567FD45C726BF92B40F425F40577517F47A23F11D702AB7C82a6HAL" TargetMode="External"/><Relationship Id="rId81" Type="http://schemas.openxmlformats.org/officeDocument/2006/relationships/hyperlink" Target="consultantplus://offline/ref=F4E544E0851FF722673DBDC04B582BD55B5C525C7DD45C726BF92B40F425F40577517F47A23F11D702AB7C82a6HAL" TargetMode="External"/><Relationship Id="rId86" Type="http://schemas.openxmlformats.org/officeDocument/2006/relationships/hyperlink" Target="consultantplus://offline/ref=F4E544E0851FF722673DA1C057582BD55E5F525F7389567A32F52947FB7AF11066097044BD2113CB1EA97Ea8H2L" TargetMode="External"/><Relationship Id="rId94" Type="http://schemas.openxmlformats.org/officeDocument/2006/relationships/hyperlink" Target="consultantplus://offline/ref=F4E544E0851FF722673DBDC04B582BD558595D5778D45C726BF92B40F425F40577517F47A23F11D702AB7C82a6HAL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F4E544E0851FF722673DBDC04B582BD5585C5D5E7AD45C726BF92B40F425F40577517F47A23F11D702AB7C82a6HAL" TargetMode="External"/><Relationship Id="rId18" Type="http://schemas.openxmlformats.org/officeDocument/2006/relationships/hyperlink" Target="consultantplus://offline/ref=F4E544E0851FF722673DBDC04B582BD5585F5E587AD45C726BF92B40F425F40577517F47A23F11D702AB7C82a6HAL" TargetMode="External"/><Relationship Id="rId39" Type="http://schemas.openxmlformats.org/officeDocument/2006/relationships/hyperlink" Target="consultantplus://offline/ref=F4E544E0851FF722673DBDC04B582BD5585E5B5B79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DF81-82F4-4D35-911F-6D533B71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24171</Words>
  <Characters>137780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2022-12-02T09:21:00Z</cp:lastPrinted>
  <dcterms:created xsi:type="dcterms:W3CDTF">2022-12-02T09:06:00Z</dcterms:created>
  <dcterms:modified xsi:type="dcterms:W3CDTF">2022-12-19T11:55:00Z</dcterms:modified>
</cp:coreProperties>
</file>